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BD775" w14:textId="1FFD0416" w:rsidR="00000000" w:rsidRPr="00836240" w:rsidRDefault="00A404A1">
      <w:pPr>
        <w:spacing w:line="360" w:lineRule="auto"/>
        <w:jc w:val="center"/>
        <w:rPr>
          <w:rFonts w:ascii="宋体" w:hAnsi="宋体" w:hint="eastAsia"/>
          <w:b/>
          <w:sz w:val="24"/>
        </w:rPr>
      </w:pPr>
      <w:r w:rsidRPr="00836240">
        <w:rPr>
          <w:rFonts w:ascii="宋体" w:hAnsi="宋体" w:hint="eastAsia"/>
          <w:sz w:val="24"/>
        </w:rPr>
        <w:t>天津轻工职业技术学院2022-2023年度维修项目</w:t>
      </w:r>
      <w:r w:rsidR="00000000" w:rsidRPr="00836240">
        <w:rPr>
          <w:rFonts w:ascii="宋体" w:hAnsi="宋体" w:hint="eastAsia"/>
          <w:b/>
          <w:sz w:val="24"/>
        </w:rPr>
        <w:t>需求书</w:t>
      </w:r>
    </w:p>
    <w:p w14:paraId="5B45272A" w14:textId="77777777" w:rsidR="00000000" w:rsidRPr="00836240" w:rsidRDefault="00000000">
      <w:pPr>
        <w:spacing w:line="360" w:lineRule="auto"/>
        <w:ind w:firstLineChars="100" w:firstLine="240"/>
        <w:rPr>
          <w:rFonts w:ascii="宋体" w:hAnsi="宋体" w:hint="eastAsia"/>
          <w:sz w:val="24"/>
        </w:rPr>
      </w:pPr>
      <w:r w:rsidRPr="00836240">
        <w:rPr>
          <w:rFonts w:ascii="宋体" w:hAnsi="宋体" w:hint="eastAsia"/>
          <w:sz w:val="24"/>
        </w:rPr>
        <w:t xml:space="preserve">项目预算：140万元  </w:t>
      </w:r>
      <w:r w:rsidRPr="00836240">
        <w:rPr>
          <w:rFonts w:hint="eastAsia"/>
          <w:sz w:val="24"/>
        </w:rPr>
        <w:t>面向小微企业。</w:t>
      </w:r>
    </w:p>
    <w:p w14:paraId="06FC5A24" w14:textId="77777777" w:rsidR="00000000" w:rsidRPr="00836240" w:rsidRDefault="00000000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4"/>
        </w:rPr>
      </w:pPr>
      <w:r w:rsidRPr="00836240">
        <w:rPr>
          <w:rFonts w:ascii="宋体" w:hAnsi="宋体" w:hint="eastAsia"/>
          <w:sz w:val="24"/>
        </w:rPr>
        <w:t>项目背景</w:t>
      </w:r>
    </w:p>
    <w:p w14:paraId="1A1ACF6D" w14:textId="77777777" w:rsidR="00000000" w:rsidRPr="00836240" w:rsidRDefault="00000000">
      <w:pPr>
        <w:ind w:leftChars="229" w:left="481" w:firstLineChars="200" w:firstLine="480"/>
        <w:rPr>
          <w:rFonts w:ascii="宋体" w:hAnsi="宋体" w:hint="eastAsia"/>
          <w:sz w:val="24"/>
        </w:rPr>
      </w:pPr>
      <w:r w:rsidRPr="00836240">
        <w:rPr>
          <w:rFonts w:ascii="宋体" w:hAnsi="宋体"/>
          <w:sz w:val="24"/>
        </w:rPr>
        <w:t>天津轻工职业技术学院坐落于天津海河教育园区雅观路1号，</w:t>
      </w:r>
      <w:r w:rsidRPr="00836240">
        <w:rPr>
          <w:rFonts w:ascii="宋体" w:hAnsi="宋体" w:hint="eastAsia"/>
          <w:sz w:val="24"/>
        </w:rPr>
        <w:t>占地面积约800亩。</w:t>
      </w:r>
    </w:p>
    <w:p w14:paraId="119452DB" w14:textId="77777777" w:rsidR="00000000" w:rsidRPr="00836240" w:rsidRDefault="00000000">
      <w:pPr>
        <w:ind w:leftChars="229" w:left="481" w:firstLineChars="200" w:firstLine="480"/>
        <w:rPr>
          <w:rFonts w:ascii="宋体" w:hAnsi="宋体" w:hint="eastAsia"/>
          <w:sz w:val="24"/>
        </w:rPr>
      </w:pPr>
      <w:r w:rsidRPr="00836240">
        <w:rPr>
          <w:rFonts w:ascii="宋体" w:hAnsi="宋体" w:hint="eastAsia"/>
          <w:sz w:val="24"/>
        </w:rPr>
        <w:t>学院维修包括日常维修和小型维修两部分。拟通过公开招标聘请有资质的公司负责维修。</w:t>
      </w:r>
    </w:p>
    <w:p w14:paraId="023B4F43" w14:textId="77777777" w:rsidR="00000000" w:rsidRPr="00836240" w:rsidRDefault="00000000">
      <w:pPr>
        <w:ind w:leftChars="229" w:left="481" w:firstLineChars="200" w:firstLine="480"/>
        <w:rPr>
          <w:rFonts w:ascii="宋体" w:hAnsi="宋体" w:hint="eastAsia"/>
          <w:sz w:val="24"/>
        </w:rPr>
      </w:pPr>
      <w:r w:rsidRPr="00836240">
        <w:rPr>
          <w:rFonts w:ascii="宋体" w:hAnsi="宋体" w:hint="eastAsia"/>
          <w:sz w:val="24"/>
        </w:rPr>
        <w:t>日常维修是指维修预算</w:t>
      </w:r>
      <w:r w:rsidRPr="00836240">
        <w:rPr>
          <w:rFonts w:ascii="宋体" w:hAnsi="宋体"/>
          <w:sz w:val="24"/>
        </w:rPr>
        <w:t>1000</w:t>
      </w:r>
      <w:r w:rsidRPr="00836240">
        <w:rPr>
          <w:rFonts w:ascii="宋体" w:hAnsi="宋体" w:hint="eastAsia"/>
          <w:sz w:val="24"/>
        </w:rPr>
        <w:t>元以下的碎修，在后勤维修服务平台完成报修、审核、派工、接单、完工等操作。日常维修内容包括：上下水维修、木工维修、泥瓦工维修、设备、物品搬运等，</w:t>
      </w:r>
    </w:p>
    <w:p w14:paraId="385C7D8E" w14:textId="77777777" w:rsidR="00000000" w:rsidRPr="00836240" w:rsidRDefault="00000000">
      <w:pPr>
        <w:ind w:leftChars="229" w:left="481" w:firstLineChars="200" w:firstLine="480"/>
        <w:rPr>
          <w:rFonts w:ascii="宋体" w:hAnsi="宋体"/>
          <w:sz w:val="24"/>
        </w:rPr>
      </w:pPr>
      <w:r w:rsidRPr="00836240">
        <w:rPr>
          <w:rFonts w:ascii="宋体" w:hAnsi="宋体" w:hint="eastAsia"/>
          <w:sz w:val="24"/>
        </w:rPr>
        <w:t>小型维修是指维修预算</w:t>
      </w:r>
      <w:r w:rsidRPr="00836240">
        <w:rPr>
          <w:rFonts w:ascii="宋体" w:hAnsi="宋体"/>
          <w:sz w:val="24"/>
        </w:rPr>
        <w:t>1000</w:t>
      </w:r>
      <w:r w:rsidRPr="00836240">
        <w:rPr>
          <w:rFonts w:ascii="宋体" w:hAnsi="宋体" w:hint="eastAsia"/>
          <w:sz w:val="24"/>
        </w:rPr>
        <w:t>元以上至8万元以下的工程。小型维修内容包括：学院建筑物、构筑物、悬挂物等小型房屋修缮工程；墙、地砖维修工程；吊顶维修工程；窗户改造维修；水、暖、电、给排水维修工程等。</w:t>
      </w:r>
    </w:p>
    <w:p w14:paraId="4F497D9D" w14:textId="77777777" w:rsidR="00000000" w:rsidRPr="00836240" w:rsidRDefault="00000000">
      <w:pPr>
        <w:spacing w:line="360" w:lineRule="auto"/>
        <w:ind w:firstLineChars="100" w:firstLine="240"/>
        <w:rPr>
          <w:rFonts w:ascii="宋体" w:hAnsi="宋体" w:hint="eastAsia"/>
          <w:sz w:val="24"/>
        </w:rPr>
      </w:pPr>
      <w:r w:rsidRPr="00836240">
        <w:rPr>
          <w:rFonts w:ascii="宋体" w:hAnsi="宋体" w:hint="eastAsia"/>
          <w:sz w:val="24"/>
        </w:rPr>
        <w:t>三、商务需求</w:t>
      </w:r>
      <w:r w:rsidRPr="00836240">
        <w:rPr>
          <w:rFonts w:ascii="宋体" w:hAnsi="宋体" w:cs="宋体" w:hint="eastAsia"/>
          <w:kern w:val="0"/>
          <w:sz w:val="24"/>
        </w:rPr>
        <w:t>[请按实际需求填写完整]</w:t>
      </w:r>
    </w:p>
    <w:tbl>
      <w:tblPr>
        <w:tblW w:w="4730" w:type="pct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41"/>
        <w:gridCol w:w="1419"/>
        <w:gridCol w:w="4960"/>
        <w:gridCol w:w="1580"/>
        <w:gridCol w:w="4385"/>
      </w:tblGrid>
      <w:tr w:rsidR="00836240" w:rsidRPr="00836240" w14:paraId="0CE0FEC2" w14:textId="77777777">
        <w:trPr>
          <w:trHeight w:val="585"/>
          <w:jc w:val="center"/>
        </w:trPr>
        <w:tc>
          <w:tcPr>
            <w:tcW w:w="319" w:type="pct"/>
            <w:vAlign w:val="center"/>
          </w:tcPr>
          <w:p w14:paraId="5164D663" w14:textId="77777777" w:rsidR="00000000" w:rsidRPr="0083624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6240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538" w:type="pct"/>
            <w:vAlign w:val="center"/>
          </w:tcPr>
          <w:p w14:paraId="24817274" w14:textId="77777777" w:rsidR="00000000" w:rsidRPr="0083624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6240">
              <w:rPr>
                <w:rFonts w:ascii="宋体" w:hAnsi="宋体" w:cs="宋体" w:hint="eastAsia"/>
                <w:kern w:val="0"/>
                <w:sz w:val="24"/>
              </w:rPr>
              <w:t>需求条款</w:t>
            </w:r>
          </w:p>
        </w:tc>
        <w:tc>
          <w:tcPr>
            <w:tcW w:w="1880" w:type="pct"/>
            <w:vAlign w:val="center"/>
          </w:tcPr>
          <w:p w14:paraId="1510817E" w14:textId="77777777" w:rsidR="00000000" w:rsidRPr="0083624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36240">
              <w:rPr>
                <w:rFonts w:ascii="宋体" w:hAnsi="宋体" w:cs="宋体" w:hint="eastAsia"/>
                <w:kern w:val="0"/>
                <w:sz w:val="24"/>
              </w:rPr>
              <w:t>具体要求</w:t>
            </w:r>
          </w:p>
        </w:tc>
        <w:tc>
          <w:tcPr>
            <w:tcW w:w="599" w:type="pct"/>
            <w:vAlign w:val="center"/>
          </w:tcPr>
          <w:p w14:paraId="35447ED7" w14:textId="77777777" w:rsidR="00000000" w:rsidRPr="0083624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6240">
              <w:rPr>
                <w:rFonts w:ascii="宋体" w:hAnsi="宋体" w:cs="宋体" w:hint="eastAsia"/>
                <w:kern w:val="0"/>
                <w:sz w:val="24"/>
              </w:rPr>
              <w:t>是否为实质性条款</w:t>
            </w:r>
          </w:p>
        </w:tc>
        <w:tc>
          <w:tcPr>
            <w:tcW w:w="1662" w:type="pct"/>
            <w:vAlign w:val="center"/>
          </w:tcPr>
          <w:p w14:paraId="1FC2BD33" w14:textId="77777777" w:rsidR="00000000" w:rsidRPr="0083624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6240">
              <w:rPr>
                <w:rFonts w:ascii="宋体" w:hAnsi="宋体" w:cs="宋体" w:hint="eastAsia"/>
                <w:kern w:val="0"/>
                <w:sz w:val="24"/>
              </w:rPr>
              <w:t>原因说明（实质性条款需列明原因）</w:t>
            </w:r>
          </w:p>
        </w:tc>
      </w:tr>
      <w:tr w:rsidR="00836240" w:rsidRPr="00836240" w14:paraId="23B36CB6" w14:textId="77777777">
        <w:trPr>
          <w:trHeight w:val="300"/>
          <w:jc w:val="center"/>
        </w:trPr>
        <w:tc>
          <w:tcPr>
            <w:tcW w:w="319" w:type="pct"/>
            <w:vAlign w:val="center"/>
          </w:tcPr>
          <w:p w14:paraId="2E9A18EB" w14:textId="77777777" w:rsidR="00000000" w:rsidRPr="00836240" w:rsidRDefault="0000000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6240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38" w:type="pct"/>
            <w:vAlign w:val="center"/>
          </w:tcPr>
          <w:p w14:paraId="68BAAAF0" w14:textId="77777777" w:rsidR="00000000" w:rsidRPr="0083624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36240">
              <w:rPr>
                <w:rFonts w:ascii="宋体" w:hAnsi="宋体" w:hint="eastAsia"/>
                <w:sz w:val="24"/>
              </w:rPr>
              <w:t>实质性资格要求</w:t>
            </w:r>
          </w:p>
        </w:tc>
        <w:tc>
          <w:tcPr>
            <w:tcW w:w="1880" w:type="pct"/>
            <w:vAlign w:val="center"/>
          </w:tcPr>
          <w:p w14:paraId="5C3CA289" w14:textId="77777777" w:rsidR="00000000" w:rsidRPr="00836240" w:rsidRDefault="00000000">
            <w:pPr>
              <w:widowControl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836240">
              <w:rPr>
                <w:rFonts w:ascii="宋体" w:hAnsi="宋体" w:hint="eastAsia"/>
                <w:sz w:val="24"/>
              </w:rPr>
              <w:t>具有建筑工程施工总承包叁级及以上资质，且投标人须具备有效期内的安全生产许可证</w:t>
            </w:r>
          </w:p>
        </w:tc>
        <w:tc>
          <w:tcPr>
            <w:tcW w:w="599" w:type="pct"/>
          </w:tcPr>
          <w:p w14:paraId="1D344A72" w14:textId="77777777" w:rsidR="00000000" w:rsidRPr="0083624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6240">
              <w:rPr>
                <w:rFonts w:ascii="宋体" w:hAnsi="宋体" w:cs="宋体" w:hint="eastAsia"/>
                <w:kern w:val="0"/>
                <w:sz w:val="24"/>
              </w:rPr>
              <w:t>是</w:t>
            </w:r>
          </w:p>
        </w:tc>
        <w:tc>
          <w:tcPr>
            <w:tcW w:w="1662" w:type="pct"/>
            <w:vAlign w:val="center"/>
          </w:tcPr>
          <w:p w14:paraId="7A18C7BC" w14:textId="77777777" w:rsidR="00000000" w:rsidRPr="0083624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6240">
              <w:rPr>
                <w:rFonts w:ascii="宋体" w:hAnsi="宋体" w:cs="宋体" w:hint="eastAsia"/>
                <w:kern w:val="0"/>
                <w:sz w:val="24"/>
              </w:rPr>
              <w:t>确保所投产品符合国家质量技术监督管理局规定，保证产品质量过关。</w:t>
            </w:r>
          </w:p>
        </w:tc>
      </w:tr>
      <w:tr w:rsidR="00836240" w:rsidRPr="00836240" w14:paraId="09F24A4E" w14:textId="77777777">
        <w:trPr>
          <w:trHeight w:val="693"/>
          <w:jc w:val="center"/>
        </w:trPr>
        <w:tc>
          <w:tcPr>
            <w:tcW w:w="319" w:type="pct"/>
            <w:vMerge w:val="restart"/>
            <w:vAlign w:val="center"/>
          </w:tcPr>
          <w:p w14:paraId="355E4DDF" w14:textId="77777777" w:rsidR="00000000" w:rsidRPr="0083624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6240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38" w:type="pct"/>
            <w:vMerge w:val="restart"/>
            <w:vAlign w:val="center"/>
          </w:tcPr>
          <w:p w14:paraId="7DDE2FFC" w14:textId="77777777" w:rsidR="00000000" w:rsidRPr="0083624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6240">
              <w:rPr>
                <w:rFonts w:ascii="宋体" w:hAnsi="宋体" w:hint="eastAsia"/>
                <w:sz w:val="24"/>
              </w:rPr>
              <w:t>服务要求</w:t>
            </w:r>
          </w:p>
        </w:tc>
        <w:tc>
          <w:tcPr>
            <w:tcW w:w="1880" w:type="pct"/>
            <w:vAlign w:val="center"/>
          </w:tcPr>
          <w:p w14:paraId="4FE3DDCB" w14:textId="77777777" w:rsidR="00000000" w:rsidRPr="00836240" w:rsidRDefault="00000000">
            <w:pPr>
              <w:rPr>
                <w:rFonts w:hint="eastAsia"/>
                <w:b/>
                <w:sz w:val="28"/>
                <w:szCs w:val="28"/>
              </w:rPr>
            </w:pPr>
            <w:r w:rsidRPr="00836240">
              <w:rPr>
                <w:rFonts w:ascii="宋体" w:hAnsi="宋体" w:hint="eastAsia"/>
                <w:sz w:val="24"/>
              </w:rPr>
              <w:t>投标方应该专业配备合理，技术实力雄厚，设备保障精良，实践经验丰富，管理体系完整，社会信誉良好。</w:t>
            </w:r>
          </w:p>
        </w:tc>
        <w:tc>
          <w:tcPr>
            <w:tcW w:w="599" w:type="pct"/>
            <w:vAlign w:val="center"/>
          </w:tcPr>
          <w:p w14:paraId="73C08956" w14:textId="77777777" w:rsidR="00000000" w:rsidRPr="0083624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6240">
              <w:rPr>
                <w:rFonts w:ascii="宋体" w:hAnsi="宋体" w:cs="宋体" w:hint="eastAsia"/>
                <w:kern w:val="0"/>
                <w:sz w:val="24"/>
              </w:rPr>
              <w:t>是</w:t>
            </w:r>
          </w:p>
        </w:tc>
        <w:tc>
          <w:tcPr>
            <w:tcW w:w="1662" w:type="pct"/>
            <w:vAlign w:val="center"/>
          </w:tcPr>
          <w:p w14:paraId="3C61AB38" w14:textId="77777777" w:rsidR="00000000" w:rsidRPr="0083624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6240" w:rsidRPr="00836240" w14:paraId="30A51AA4" w14:textId="77777777">
        <w:trPr>
          <w:trHeight w:val="798"/>
          <w:jc w:val="center"/>
        </w:trPr>
        <w:tc>
          <w:tcPr>
            <w:tcW w:w="319" w:type="pct"/>
            <w:vMerge/>
            <w:vAlign w:val="center"/>
          </w:tcPr>
          <w:p w14:paraId="2F194656" w14:textId="77777777" w:rsidR="00000000" w:rsidRPr="0083624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38" w:type="pct"/>
            <w:vMerge/>
            <w:vAlign w:val="center"/>
          </w:tcPr>
          <w:p w14:paraId="77AC2D53" w14:textId="77777777" w:rsidR="00000000" w:rsidRPr="0083624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0" w:type="pct"/>
            <w:vAlign w:val="center"/>
          </w:tcPr>
          <w:p w14:paraId="2353D26C" w14:textId="77777777" w:rsidR="00000000" w:rsidRPr="00836240" w:rsidRDefault="00000000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  <w:r w:rsidRPr="00836240">
              <w:rPr>
                <w:rFonts w:ascii="宋体" w:hAnsi="宋体" w:hint="eastAsia"/>
                <w:sz w:val="24"/>
              </w:rPr>
              <w:t>日常维修：投标方每天需在后勤维修平台上接单，动力设备科在审核报修后，需在30分钟内进行受理、派工，无特殊情况下48小时</w:t>
            </w:r>
            <w:r w:rsidRPr="00836240">
              <w:rPr>
                <w:rFonts w:ascii="宋体" w:hAnsi="宋体" w:hint="eastAsia"/>
                <w:sz w:val="24"/>
              </w:rPr>
              <w:lastRenderedPageBreak/>
              <w:t>内完工， 维修人员遇到因各种原因无法马上解决的维修任务，应向报修人说明原因。项目实施期间须安排人员24小时至少有2名值班，7×24小时技术响应，遇突发事件工作人员需立即到达现场及时进行抢修。</w:t>
            </w:r>
          </w:p>
          <w:p w14:paraId="61BC4A15" w14:textId="77777777" w:rsidR="00000000" w:rsidRPr="00836240" w:rsidRDefault="00000000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  <w:r w:rsidRPr="00836240">
              <w:rPr>
                <w:rFonts w:ascii="宋体" w:hAnsi="宋体" w:hint="eastAsia"/>
                <w:sz w:val="24"/>
              </w:rPr>
              <w:t>小型维修：根据甲方实际需求进行维修。</w:t>
            </w:r>
          </w:p>
        </w:tc>
        <w:tc>
          <w:tcPr>
            <w:tcW w:w="599" w:type="pct"/>
            <w:vAlign w:val="center"/>
          </w:tcPr>
          <w:p w14:paraId="0F72E119" w14:textId="77777777" w:rsidR="00000000" w:rsidRPr="0083624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36240">
              <w:rPr>
                <w:rFonts w:ascii="宋体" w:hAnsi="宋体" w:cs="宋体" w:hint="eastAsia"/>
                <w:kern w:val="0"/>
                <w:sz w:val="24"/>
              </w:rPr>
              <w:lastRenderedPageBreak/>
              <w:t>是</w:t>
            </w:r>
          </w:p>
        </w:tc>
        <w:tc>
          <w:tcPr>
            <w:tcW w:w="1662" w:type="pct"/>
            <w:vAlign w:val="center"/>
          </w:tcPr>
          <w:p w14:paraId="45322AEA" w14:textId="77777777" w:rsidR="00000000" w:rsidRPr="0083624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6240" w:rsidRPr="00836240" w14:paraId="2141FDC2" w14:textId="77777777">
        <w:trPr>
          <w:trHeight w:val="300"/>
          <w:jc w:val="center"/>
        </w:trPr>
        <w:tc>
          <w:tcPr>
            <w:tcW w:w="319" w:type="pct"/>
            <w:vMerge/>
            <w:vAlign w:val="center"/>
          </w:tcPr>
          <w:p w14:paraId="48FBD1EE" w14:textId="77777777" w:rsidR="00000000" w:rsidRPr="0083624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38" w:type="pct"/>
            <w:vMerge/>
            <w:vAlign w:val="center"/>
          </w:tcPr>
          <w:p w14:paraId="7FB174D1" w14:textId="77777777" w:rsidR="00000000" w:rsidRPr="0083624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0" w:type="pct"/>
            <w:vAlign w:val="center"/>
          </w:tcPr>
          <w:p w14:paraId="55DB8291" w14:textId="77777777" w:rsidR="00000000" w:rsidRPr="00836240" w:rsidRDefault="00000000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  <w:r w:rsidRPr="00836240">
              <w:rPr>
                <w:rFonts w:ascii="宋体" w:hAnsi="宋体" w:hint="eastAsia"/>
                <w:sz w:val="24"/>
              </w:rPr>
              <w:t>付款方式：</w:t>
            </w:r>
          </w:p>
          <w:p w14:paraId="612CCC44" w14:textId="77777777" w:rsidR="00000000" w:rsidRPr="00836240" w:rsidRDefault="00000000">
            <w:pPr>
              <w:spacing w:line="360" w:lineRule="auto"/>
              <w:ind w:firstLineChars="200" w:firstLine="480"/>
              <w:rPr>
                <w:rFonts w:ascii="宋体" w:hAnsi="宋体" w:cs="Times New Roman"/>
                <w:sz w:val="24"/>
              </w:rPr>
            </w:pPr>
            <w:r w:rsidRPr="00836240">
              <w:rPr>
                <w:rFonts w:ascii="宋体" w:hAnsi="宋体" w:cs="Times New Roman" w:hint="eastAsia"/>
                <w:sz w:val="24"/>
              </w:rPr>
              <w:t>本项目包工包料。用固定单价据实结算。</w:t>
            </w:r>
          </w:p>
          <w:p w14:paraId="0EA53382" w14:textId="77777777" w:rsidR="00000000" w:rsidRPr="00836240" w:rsidRDefault="00000000">
            <w:pPr>
              <w:widowControl/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  <w:r w:rsidRPr="00836240">
              <w:rPr>
                <w:rFonts w:ascii="宋体" w:hAnsi="宋体" w:hint="eastAsia"/>
                <w:sz w:val="24"/>
              </w:rPr>
              <w:t>日常维修每月按实际发生量结算，</w:t>
            </w:r>
            <w:r w:rsidRPr="00836240">
              <w:rPr>
                <w:rFonts w:ascii="宋体" w:hAnsi="宋体" w:cs="宋体" w:hint="eastAsia"/>
                <w:kern w:val="0"/>
                <w:sz w:val="24"/>
              </w:rPr>
              <w:t>先结算</w:t>
            </w:r>
            <w:r w:rsidRPr="00836240">
              <w:rPr>
                <w:rFonts w:ascii="宋体" w:hAnsi="宋体" w:cs="宋体"/>
                <w:kern w:val="0"/>
                <w:sz w:val="24"/>
              </w:rPr>
              <w:t>80%</w:t>
            </w:r>
            <w:r w:rsidRPr="00836240">
              <w:rPr>
                <w:rFonts w:ascii="宋体" w:hAnsi="宋体" w:cs="宋体" w:hint="eastAsia"/>
                <w:kern w:val="0"/>
                <w:sz w:val="24"/>
              </w:rPr>
              <w:t>款项，</w:t>
            </w:r>
            <w:r w:rsidRPr="00836240">
              <w:rPr>
                <w:rFonts w:ascii="宋体" w:hAnsi="宋体" w:hint="eastAsia"/>
                <w:sz w:val="24"/>
              </w:rPr>
              <w:t>次月15日前支付上一个月的费用，每季度</w:t>
            </w:r>
            <w:r w:rsidRPr="00836240">
              <w:rPr>
                <w:rFonts w:ascii="宋体" w:hAnsi="宋体" w:cs="宋体" w:hint="eastAsia"/>
                <w:kern w:val="0"/>
                <w:sz w:val="24"/>
              </w:rPr>
              <w:t>由第三方有资质公司审计后再结算剩余尾款。</w:t>
            </w:r>
            <w:r w:rsidRPr="00836240">
              <w:rPr>
                <w:rFonts w:ascii="宋体" w:hAnsi="宋体" w:hint="eastAsia"/>
                <w:sz w:val="24"/>
              </w:rPr>
              <w:t>（特殊情况以合同为准）</w:t>
            </w:r>
          </w:p>
          <w:p w14:paraId="72B5BDCB" w14:textId="77777777" w:rsidR="00000000" w:rsidRPr="00836240" w:rsidRDefault="00000000">
            <w:pPr>
              <w:spacing w:line="360" w:lineRule="auto"/>
              <w:ind w:leftChars="-59" w:left="-124" w:rightChars="-82" w:right="-172" w:firstLineChars="150" w:firstLine="360"/>
              <w:rPr>
                <w:rFonts w:ascii="宋体" w:hAnsi="宋体"/>
                <w:sz w:val="24"/>
              </w:rPr>
            </w:pPr>
            <w:r w:rsidRPr="00836240">
              <w:rPr>
                <w:rFonts w:ascii="宋体" w:hAnsi="宋体" w:cs="宋体" w:hint="eastAsia"/>
                <w:kern w:val="0"/>
                <w:sz w:val="24"/>
              </w:rPr>
              <w:t>小型维修每季度按实际发生量结算，先结算</w:t>
            </w:r>
            <w:r w:rsidRPr="00836240">
              <w:rPr>
                <w:rFonts w:ascii="宋体" w:hAnsi="宋体" w:cs="宋体"/>
                <w:kern w:val="0"/>
                <w:sz w:val="24"/>
              </w:rPr>
              <w:t>80%</w:t>
            </w:r>
            <w:r w:rsidRPr="00836240">
              <w:rPr>
                <w:rFonts w:ascii="宋体" w:hAnsi="宋体" w:cs="宋体" w:hint="eastAsia"/>
                <w:kern w:val="0"/>
                <w:sz w:val="24"/>
              </w:rPr>
              <w:t>款项，每季度</w:t>
            </w:r>
            <w:r w:rsidRPr="00836240">
              <w:rPr>
                <w:rFonts w:ascii="宋体" w:hAnsi="宋体" w:hint="eastAsia"/>
                <w:sz w:val="24"/>
              </w:rPr>
              <w:t>15日前支付上一个季度的费用，每季度</w:t>
            </w:r>
            <w:r w:rsidRPr="00836240">
              <w:rPr>
                <w:rFonts w:ascii="宋体" w:hAnsi="宋体" w:cs="宋体" w:hint="eastAsia"/>
                <w:kern w:val="0"/>
                <w:sz w:val="24"/>
              </w:rPr>
              <w:t>由第三方有资质公司审计后再结算剩余尾款。</w:t>
            </w:r>
            <w:r w:rsidRPr="00836240">
              <w:rPr>
                <w:rFonts w:ascii="宋体" w:hAnsi="宋体" w:hint="eastAsia"/>
                <w:sz w:val="24"/>
              </w:rPr>
              <w:t>（特殊情况以合同为准）</w:t>
            </w:r>
          </w:p>
        </w:tc>
        <w:tc>
          <w:tcPr>
            <w:tcW w:w="599" w:type="pct"/>
            <w:vAlign w:val="center"/>
          </w:tcPr>
          <w:p w14:paraId="413EFE18" w14:textId="77777777" w:rsidR="00000000" w:rsidRPr="0083624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36240">
              <w:rPr>
                <w:rFonts w:ascii="宋体" w:hAnsi="宋体" w:cs="宋体" w:hint="eastAsia"/>
                <w:kern w:val="0"/>
                <w:sz w:val="24"/>
              </w:rPr>
              <w:t>是</w:t>
            </w:r>
          </w:p>
        </w:tc>
        <w:tc>
          <w:tcPr>
            <w:tcW w:w="1662" w:type="pct"/>
            <w:vAlign w:val="center"/>
          </w:tcPr>
          <w:p w14:paraId="28A6C78C" w14:textId="77777777" w:rsidR="00000000" w:rsidRPr="0083624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6240" w:rsidRPr="00836240" w14:paraId="75508AC1" w14:textId="77777777">
        <w:trPr>
          <w:trHeight w:val="926"/>
          <w:jc w:val="center"/>
        </w:trPr>
        <w:tc>
          <w:tcPr>
            <w:tcW w:w="319" w:type="pct"/>
            <w:vAlign w:val="center"/>
          </w:tcPr>
          <w:p w14:paraId="7BB0C248" w14:textId="77777777" w:rsidR="00000000" w:rsidRPr="0083624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36240">
              <w:rPr>
                <w:rFonts w:ascii="宋体" w:hAnsi="宋体" w:cs="宋体" w:hint="eastAsia"/>
                <w:kern w:val="0"/>
                <w:sz w:val="24"/>
              </w:rPr>
              <w:lastRenderedPageBreak/>
              <w:t>3</w:t>
            </w:r>
          </w:p>
        </w:tc>
        <w:tc>
          <w:tcPr>
            <w:tcW w:w="538" w:type="pct"/>
            <w:vAlign w:val="center"/>
          </w:tcPr>
          <w:p w14:paraId="471A36F2" w14:textId="77777777" w:rsidR="00000000" w:rsidRPr="00836240" w:rsidRDefault="0000000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6240">
              <w:rPr>
                <w:rFonts w:ascii="宋体" w:hAnsi="宋体" w:hint="eastAsia"/>
                <w:sz w:val="24"/>
              </w:rPr>
              <w:t>施工工期</w:t>
            </w:r>
          </w:p>
        </w:tc>
        <w:tc>
          <w:tcPr>
            <w:tcW w:w="1880" w:type="pct"/>
            <w:vAlign w:val="center"/>
          </w:tcPr>
          <w:p w14:paraId="53BAC63E" w14:textId="77777777" w:rsidR="00000000" w:rsidRPr="00836240" w:rsidRDefault="00000000">
            <w:pPr>
              <w:jc w:val="left"/>
              <w:rPr>
                <w:rFonts w:ascii="宋体" w:hAnsi="宋体"/>
                <w:sz w:val="24"/>
              </w:rPr>
            </w:pPr>
            <w:r w:rsidRPr="00836240">
              <w:rPr>
                <w:rFonts w:ascii="宋体" w:hAnsi="宋体" w:cs="宋体" w:hint="eastAsia"/>
                <w:sz w:val="24"/>
                <w:u w:color="000000"/>
              </w:rPr>
              <w:t>签订合同之日起为期1 年</w:t>
            </w:r>
          </w:p>
        </w:tc>
        <w:tc>
          <w:tcPr>
            <w:tcW w:w="599" w:type="pct"/>
            <w:vAlign w:val="center"/>
          </w:tcPr>
          <w:p w14:paraId="3F541AAE" w14:textId="77777777" w:rsidR="00000000" w:rsidRPr="0083624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36240">
              <w:rPr>
                <w:rFonts w:ascii="宋体" w:hAnsi="宋体" w:cs="宋体" w:hint="eastAsia"/>
                <w:kern w:val="0"/>
                <w:sz w:val="24"/>
              </w:rPr>
              <w:t>是</w:t>
            </w:r>
          </w:p>
        </w:tc>
        <w:tc>
          <w:tcPr>
            <w:tcW w:w="1662" w:type="pct"/>
            <w:vAlign w:val="center"/>
          </w:tcPr>
          <w:p w14:paraId="18905D1B" w14:textId="77777777" w:rsidR="00000000" w:rsidRPr="0083624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6240" w:rsidRPr="00836240" w14:paraId="6DA643D7" w14:textId="77777777">
        <w:trPr>
          <w:trHeight w:val="300"/>
          <w:jc w:val="center"/>
        </w:trPr>
        <w:tc>
          <w:tcPr>
            <w:tcW w:w="319" w:type="pct"/>
            <w:vMerge w:val="restart"/>
            <w:vAlign w:val="center"/>
          </w:tcPr>
          <w:p w14:paraId="2DE805ED" w14:textId="77777777" w:rsidR="00000000" w:rsidRPr="0083624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836240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538" w:type="pct"/>
            <w:vMerge w:val="restart"/>
            <w:vAlign w:val="center"/>
          </w:tcPr>
          <w:p w14:paraId="393819A8" w14:textId="77777777" w:rsidR="00000000" w:rsidRPr="0083624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36240">
              <w:rPr>
                <w:rFonts w:ascii="宋体" w:hAnsi="宋体" w:cs="宋体" w:hint="eastAsia"/>
                <w:kern w:val="0"/>
                <w:sz w:val="24"/>
              </w:rPr>
              <w:t>其他要求</w:t>
            </w:r>
          </w:p>
        </w:tc>
        <w:tc>
          <w:tcPr>
            <w:tcW w:w="1880" w:type="pct"/>
            <w:vAlign w:val="center"/>
          </w:tcPr>
          <w:p w14:paraId="383D2397" w14:textId="77777777" w:rsidR="00000000" w:rsidRPr="00836240" w:rsidRDefault="00000000">
            <w:pPr>
              <w:spacing w:line="360" w:lineRule="auto"/>
              <w:rPr>
                <w:rFonts w:hint="eastAsia"/>
                <w:b/>
                <w:sz w:val="28"/>
                <w:szCs w:val="28"/>
              </w:rPr>
            </w:pPr>
            <w:r w:rsidRPr="00836240">
              <w:rPr>
                <w:rFonts w:ascii="宋体" w:hAnsi="宋体" w:cs="Times New Roman" w:hint="eastAsia"/>
                <w:sz w:val="24"/>
              </w:rPr>
              <w:t>投标方应配备人员：项目经理1人（二级建造师以上建筑工程专业），维修人员必须60岁以下。需配备11人维修人员，工种：项目经理1人，瓦工2人，木工2人，水暖工3人，油漆工1人，焊工1人，电工1人。配备人员在合同期间需驻场在学校，特殊工种需提供作业证。</w:t>
            </w:r>
          </w:p>
        </w:tc>
        <w:tc>
          <w:tcPr>
            <w:tcW w:w="599" w:type="pct"/>
            <w:vAlign w:val="center"/>
          </w:tcPr>
          <w:p w14:paraId="1C8B1E5E" w14:textId="77777777" w:rsidR="00000000" w:rsidRPr="0083624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62" w:type="pct"/>
            <w:vAlign w:val="center"/>
          </w:tcPr>
          <w:p w14:paraId="2018ACB4" w14:textId="77777777" w:rsidR="00000000" w:rsidRPr="0083624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6240" w:rsidRPr="00836240" w14:paraId="5B27C4DE" w14:textId="77777777">
        <w:trPr>
          <w:trHeight w:val="300"/>
          <w:jc w:val="center"/>
        </w:trPr>
        <w:tc>
          <w:tcPr>
            <w:tcW w:w="319" w:type="pct"/>
            <w:vMerge/>
          </w:tcPr>
          <w:p w14:paraId="1E856FC4" w14:textId="77777777" w:rsidR="00000000" w:rsidRPr="0083624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38" w:type="pct"/>
            <w:vMerge/>
          </w:tcPr>
          <w:p w14:paraId="001D71F9" w14:textId="77777777" w:rsidR="00000000" w:rsidRPr="0083624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44" w:type="auto"/>
            <w:vAlign w:val="center"/>
          </w:tcPr>
          <w:p w14:paraId="04AA00AD" w14:textId="77777777" w:rsidR="00000000" w:rsidRPr="00836240" w:rsidRDefault="00000000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  <w:r w:rsidRPr="00836240">
              <w:rPr>
                <w:rFonts w:ascii="宋体" w:hAnsi="宋体" w:hint="eastAsia"/>
                <w:sz w:val="24"/>
              </w:rPr>
              <w:t>投标方须</w:t>
            </w:r>
            <w:proofErr w:type="gramStart"/>
            <w:r w:rsidRPr="00836240">
              <w:rPr>
                <w:rFonts w:ascii="宋体" w:hAnsi="宋体" w:hint="eastAsia"/>
                <w:sz w:val="24"/>
              </w:rPr>
              <w:t>设施工</w:t>
            </w:r>
            <w:proofErr w:type="gramEnd"/>
            <w:r w:rsidRPr="00836240">
              <w:rPr>
                <w:rFonts w:ascii="宋体" w:hAnsi="宋体" w:hint="eastAsia"/>
                <w:sz w:val="24"/>
              </w:rPr>
              <w:t>负责人1名，负责当次施工期间与学院进行沟通,保证施工工期、质量。</w:t>
            </w:r>
            <w:proofErr w:type="gramStart"/>
            <w:r w:rsidRPr="00836240">
              <w:rPr>
                <w:rFonts w:ascii="宋体" w:hAnsi="宋体" w:hint="eastAsia"/>
                <w:sz w:val="24"/>
              </w:rPr>
              <w:t>若工程出现</w:t>
            </w:r>
            <w:proofErr w:type="gramEnd"/>
            <w:r w:rsidRPr="00836240">
              <w:rPr>
                <w:rFonts w:ascii="宋体" w:hAnsi="宋体" w:hint="eastAsia"/>
                <w:sz w:val="24"/>
              </w:rPr>
              <w:t>质量问题，则由投标方负责。</w:t>
            </w:r>
          </w:p>
          <w:p w14:paraId="08E8AE91" w14:textId="77777777" w:rsidR="00000000" w:rsidRPr="00836240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36240">
              <w:rPr>
                <w:rFonts w:ascii="宋体" w:hAnsi="宋体" w:hint="eastAsia"/>
                <w:sz w:val="24"/>
              </w:rPr>
              <w:t>投标方</w:t>
            </w:r>
            <w:proofErr w:type="gramStart"/>
            <w:r w:rsidRPr="00836240">
              <w:rPr>
                <w:rFonts w:ascii="宋体" w:hAnsi="宋体" w:hint="eastAsia"/>
                <w:sz w:val="24"/>
              </w:rPr>
              <w:t>须设置</w:t>
            </w:r>
            <w:proofErr w:type="gramEnd"/>
            <w:r w:rsidRPr="00836240">
              <w:rPr>
                <w:rFonts w:ascii="宋体" w:hAnsi="宋体" w:hint="eastAsia"/>
                <w:sz w:val="24"/>
              </w:rPr>
              <w:t>安全员1-2名，负责施工地点及外围周边的施工安全。</w:t>
            </w:r>
          </w:p>
        </w:tc>
        <w:tc>
          <w:tcPr>
            <w:tcW w:w="1607" w:type="auto"/>
          </w:tcPr>
          <w:p w14:paraId="617D979F" w14:textId="77777777" w:rsidR="00000000" w:rsidRPr="0083624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459" w:type="auto"/>
          </w:tcPr>
          <w:p w14:paraId="2A2EA975" w14:textId="77777777" w:rsidR="00000000" w:rsidRPr="0083624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36240" w:rsidRPr="00836240" w14:paraId="702361AB" w14:textId="77777777">
        <w:trPr>
          <w:trHeight w:val="300"/>
          <w:jc w:val="center"/>
        </w:trPr>
        <w:tc>
          <w:tcPr>
            <w:tcW w:w="319" w:type="pct"/>
            <w:vMerge/>
          </w:tcPr>
          <w:p w14:paraId="1FB870E9" w14:textId="77777777" w:rsidR="00000000" w:rsidRPr="0083624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38" w:type="pct"/>
            <w:vMerge/>
          </w:tcPr>
          <w:p w14:paraId="01D06294" w14:textId="77777777" w:rsidR="00000000" w:rsidRPr="0083624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44" w:type="auto"/>
            <w:vAlign w:val="center"/>
          </w:tcPr>
          <w:p w14:paraId="326289A1" w14:textId="77777777" w:rsidR="00000000" w:rsidRPr="00836240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36240">
              <w:rPr>
                <w:rFonts w:ascii="宋体" w:hAnsi="宋体" w:hint="eastAsia"/>
                <w:sz w:val="24"/>
              </w:rPr>
              <w:t>日常维修（维修预算</w:t>
            </w:r>
            <w:r w:rsidRPr="00836240">
              <w:rPr>
                <w:rFonts w:ascii="宋体" w:hAnsi="宋体"/>
                <w:sz w:val="24"/>
              </w:rPr>
              <w:t>1000</w:t>
            </w:r>
            <w:r w:rsidRPr="00836240">
              <w:rPr>
                <w:rFonts w:ascii="宋体" w:hAnsi="宋体" w:hint="eastAsia"/>
                <w:sz w:val="24"/>
              </w:rPr>
              <w:t>元以下）的结算程序：维修数量依据纸质报修单中甲方报修人签字确认，维修材料费和人工</w:t>
            </w:r>
            <w:proofErr w:type="gramStart"/>
            <w:r w:rsidRPr="00836240">
              <w:rPr>
                <w:rFonts w:ascii="宋体" w:hAnsi="宋体" w:hint="eastAsia"/>
                <w:sz w:val="24"/>
              </w:rPr>
              <w:t>费依据</w:t>
            </w:r>
            <w:proofErr w:type="gramEnd"/>
            <w:r w:rsidRPr="00836240">
              <w:rPr>
                <w:rFonts w:ascii="宋体" w:hAnsi="宋体" w:hint="eastAsia"/>
                <w:sz w:val="24"/>
              </w:rPr>
              <w:t>第三方有资质公司出具的审核报告，投标方依据审</w:t>
            </w:r>
            <w:r w:rsidRPr="00836240">
              <w:rPr>
                <w:rFonts w:ascii="宋体" w:hAnsi="宋体" w:hint="eastAsia"/>
                <w:sz w:val="24"/>
              </w:rPr>
              <w:lastRenderedPageBreak/>
              <w:t>核报告根据学院后勤维修服务平台实际发生量汇总，学院后勤服务中心动力设备科审核后按月结算。每月按实际发生量结算，</w:t>
            </w:r>
            <w:r w:rsidRPr="00836240">
              <w:rPr>
                <w:rFonts w:ascii="宋体" w:hAnsi="宋体" w:cs="宋体" w:hint="eastAsia"/>
                <w:kern w:val="0"/>
                <w:sz w:val="24"/>
              </w:rPr>
              <w:t>先结算</w:t>
            </w:r>
            <w:r w:rsidRPr="00836240">
              <w:rPr>
                <w:rFonts w:ascii="宋体" w:hAnsi="宋体" w:cs="宋体"/>
                <w:kern w:val="0"/>
                <w:sz w:val="24"/>
              </w:rPr>
              <w:t>80%</w:t>
            </w:r>
            <w:r w:rsidRPr="00836240">
              <w:rPr>
                <w:rFonts w:ascii="宋体" w:hAnsi="宋体" w:cs="宋体" w:hint="eastAsia"/>
                <w:kern w:val="0"/>
                <w:sz w:val="24"/>
              </w:rPr>
              <w:t>款项，</w:t>
            </w:r>
            <w:r w:rsidRPr="00836240">
              <w:rPr>
                <w:rFonts w:ascii="宋体" w:hAnsi="宋体" w:hint="eastAsia"/>
                <w:sz w:val="24"/>
              </w:rPr>
              <w:t>次月15日前支付上一个月的费用，每季度</w:t>
            </w:r>
            <w:r w:rsidRPr="00836240">
              <w:rPr>
                <w:rFonts w:ascii="宋体" w:hAnsi="宋体" w:cs="宋体" w:hint="eastAsia"/>
                <w:kern w:val="0"/>
                <w:sz w:val="24"/>
              </w:rPr>
              <w:t>由第三方有资质公司审计后再结算剩余尾款。</w:t>
            </w:r>
          </w:p>
          <w:p w14:paraId="0946B25F" w14:textId="77777777" w:rsidR="00000000" w:rsidRPr="00836240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36240">
              <w:rPr>
                <w:rFonts w:ascii="宋体" w:hAnsi="宋体" w:cs="宋体" w:hint="eastAsia"/>
                <w:kern w:val="0"/>
                <w:sz w:val="24"/>
              </w:rPr>
              <w:t>小型维修（维修预算</w:t>
            </w:r>
            <w:r w:rsidRPr="00836240">
              <w:rPr>
                <w:rFonts w:ascii="宋体" w:hAnsi="宋体" w:cs="宋体"/>
                <w:kern w:val="0"/>
                <w:sz w:val="24"/>
              </w:rPr>
              <w:t>1000</w:t>
            </w:r>
            <w:r w:rsidRPr="00836240">
              <w:rPr>
                <w:rFonts w:ascii="宋体" w:hAnsi="宋体" w:cs="宋体" w:hint="eastAsia"/>
                <w:kern w:val="0"/>
                <w:sz w:val="24"/>
              </w:rPr>
              <w:t>元以上至8万元以下）的结算程序：由投标方按实际发生工程</w:t>
            </w:r>
            <w:proofErr w:type="gramStart"/>
            <w:r w:rsidRPr="00836240">
              <w:rPr>
                <w:rFonts w:ascii="宋体" w:hAnsi="宋体" w:cs="宋体" w:hint="eastAsia"/>
                <w:kern w:val="0"/>
                <w:sz w:val="24"/>
              </w:rPr>
              <w:t>量依据</w:t>
            </w:r>
            <w:proofErr w:type="gramEnd"/>
            <w:r w:rsidRPr="00836240">
              <w:rPr>
                <w:rFonts w:ascii="宋体" w:hAnsi="宋体" w:cs="宋体" w:hint="eastAsia"/>
                <w:kern w:val="0"/>
                <w:sz w:val="24"/>
              </w:rPr>
              <w:t>天津市最新工程预算定额出具工程量清单报价，由学院后勤服务中心动力设备科审核，每季度先结算</w:t>
            </w:r>
            <w:r w:rsidRPr="00836240">
              <w:rPr>
                <w:rFonts w:ascii="宋体" w:hAnsi="宋体" w:cs="宋体"/>
                <w:kern w:val="0"/>
                <w:sz w:val="24"/>
              </w:rPr>
              <w:t>80%</w:t>
            </w:r>
            <w:r w:rsidRPr="00836240">
              <w:rPr>
                <w:rFonts w:ascii="宋体" w:hAnsi="宋体" w:cs="宋体" w:hint="eastAsia"/>
                <w:kern w:val="0"/>
                <w:sz w:val="24"/>
              </w:rPr>
              <w:t>款项，由第三方有资质公司审计后再结算剩余尾款</w:t>
            </w:r>
          </w:p>
        </w:tc>
        <w:tc>
          <w:tcPr>
            <w:tcW w:w="1607" w:type="auto"/>
          </w:tcPr>
          <w:p w14:paraId="78359890" w14:textId="77777777" w:rsidR="00000000" w:rsidRPr="0083624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459" w:type="auto"/>
          </w:tcPr>
          <w:p w14:paraId="3B2AB30A" w14:textId="77777777" w:rsidR="00000000" w:rsidRPr="00836240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1866D190" w14:textId="77777777" w:rsidR="00000000" w:rsidRPr="00836240" w:rsidRDefault="00000000">
      <w:pPr>
        <w:spacing w:line="360" w:lineRule="auto"/>
        <w:ind w:left="480"/>
        <w:rPr>
          <w:rFonts w:ascii="宋体" w:hAnsi="宋体" w:hint="eastAsia"/>
          <w:sz w:val="24"/>
        </w:rPr>
      </w:pPr>
    </w:p>
    <w:p w14:paraId="3B823F47" w14:textId="77777777" w:rsidR="00000000" w:rsidRPr="00836240" w:rsidRDefault="00000000">
      <w:pPr>
        <w:spacing w:line="360" w:lineRule="auto"/>
        <w:rPr>
          <w:rFonts w:ascii="宋体" w:hAnsi="宋体" w:hint="eastAsia"/>
          <w:sz w:val="24"/>
        </w:rPr>
      </w:pPr>
      <w:r w:rsidRPr="00836240">
        <w:rPr>
          <w:rFonts w:ascii="宋体" w:hAnsi="宋体" w:hint="eastAsia"/>
          <w:sz w:val="24"/>
        </w:rPr>
        <w:t>四、招标工程量清单（请附后）</w:t>
      </w:r>
    </w:p>
    <w:p w14:paraId="0EC268F4" w14:textId="77777777" w:rsidR="00000000" w:rsidRPr="00836240" w:rsidRDefault="00000000">
      <w:pPr>
        <w:spacing w:line="360" w:lineRule="auto"/>
        <w:rPr>
          <w:rFonts w:ascii="宋体" w:hAnsi="宋体" w:hint="eastAsia"/>
          <w:sz w:val="24"/>
        </w:rPr>
      </w:pPr>
      <w:r w:rsidRPr="00836240">
        <w:rPr>
          <w:rFonts w:ascii="宋体" w:hAnsi="宋体" w:hint="eastAsia"/>
          <w:sz w:val="24"/>
        </w:rPr>
        <w:t>五、施工完成后需达到的效果（</w:t>
      </w:r>
      <w:r w:rsidRPr="00836240">
        <w:rPr>
          <w:rFonts w:ascii="宋体" w:hAnsi="宋体" w:hint="eastAsia"/>
          <w:b/>
          <w:sz w:val="28"/>
        </w:rPr>
        <w:t>请具体列出，以保证验收质量）</w:t>
      </w:r>
      <w:r w:rsidRPr="00836240">
        <w:rPr>
          <w:rFonts w:ascii="宋体" w:hAnsi="宋体" w:hint="eastAsia"/>
          <w:sz w:val="24"/>
        </w:rPr>
        <w:t>：</w:t>
      </w:r>
    </w:p>
    <w:p w14:paraId="53410A2B" w14:textId="77777777" w:rsidR="00000000" w:rsidRPr="00836240" w:rsidRDefault="0000000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836240">
        <w:rPr>
          <w:rFonts w:ascii="宋体" w:hAnsi="宋体" w:hint="eastAsia"/>
          <w:sz w:val="24"/>
        </w:rPr>
        <w:t>1、投标方所有工程应符合国家相关标准，保证工程质量，保证施工安全。</w:t>
      </w:r>
    </w:p>
    <w:p w14:paraId="012FEFF0" w14:textId="77777777" w:rsidR="00000000" w:rsidRPr="00836240" w:rsidRDefault="0000000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836240">
        <w:rPr>
          <w:rFonts w:ascii="宋体" w:hAnsi="宋体" w:hint="eastAsia"/>
          <w:sz w:val="24"/>
        </w:rPr>
        <w:t>2、投标方应依据国家相关规定提供相关的设计图纸、施工期</w:t>
      </w:r>
      <w:proofErr w:type="gramStart"/>
      <w:r w:rsidRPr="00836240">
        <w:rPr>
          <w:rFonts w:ascii="宋体" w:hAnsi="宋体" w:hint="eastAsia"/>
          <w:sz w:val="24"/>
        </w:rPr>
        <w:t>间资料</w:t>
      </w:r>
      <w:proofErr w:type="gramEnd"/>
      <w:r w:rsidRPr="00836240">
        <w:rPr>
          <w:rFonts w:ascii="宋体" w:hAnsi="宋体" w:hint="eastAsia"/>
          <w:sz w:val="24"/>
        </w:rPr>
        <w:t>以备甲方验收和存档。</w:t>
      </w:r>
    </w:p>
    <w:p w14:paraId="27147546" w14:textId="77777777" w:rsidR="00000000" w:rsidRPr="00836240" w:rsidRDefault="0000000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836240">
        <w:rPr>
          <w:rFonts w:ascii="宋体" w:hAnsi="宋体" w:hint="eastAsia"/>
          <w:sz w:val="24"/>
        </w:rPr>
        <w:t>3、小型维修工程由第三方有资质公司汇同甲乙双方组织验收。</w:t>
      </w:r>
    </w:p>
    <w:p w14:paraId="7AB97118" w14:textId="71BD12FF" w:rsidR="00084139" w:rsidRPr="00836240" w:rsidRDefault="00000000" w:rsidP="0083624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836240">
        <w:rPr>
          <w:rFonts w:ascii="宋体" w:hAnsi="宋体" w:hint="eastAsia"/>
          <w:sz w:val="24"/>
        </w:rPr>
        <w:t>4、日常维修和小型维修保修期为一年，1年内维修部位出现质量问题中标单位负责维修。保修期限自验收合格之日起计算。</w:t>
      </w:r>
    </w:p>
    <w:sectPr w:rsidR="00084139" w:rsidRPr="00836240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22C00"/>
    <w:multiLevelType w:val="multilevel"/>
    <w:tmpl w:val="58322C00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8823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EyYTZlMTlmNjVkODUzYzZiMzI1MjBjODExZDgyOTkifQ=="/>
  </w:docVars>
  <w:rsids>
    <w:rsidRoot w:val="00DB3902"/>
    <w:rsid w:val="000247DC"/>
    <w:rsid w:val="00025070"/>
    <w:rsid w:val="00045631"/>
    <w:rsid w:val="0006711F"/>
    <w:rsid w:val="00071693"/>
    <w:rsid w:val="00084139"/>
    <w:rsid w:val="000A2D6B"/>
    <w:rsid w:val="000A6FE9"/>
    <w:rsid w:val="000C184F"/>
    <w:rsid w:val="000E2EAA"/>
    <w:rsid w:val="000F0556"/>
    <w:rsid w:val="000F41AC"/>
    <w:rsid w:val="00111F73"/>
    <w:rsid w:val="001323D0"/>
    <w:rsid w:val="001335EE"/>
    <w:rsid w:val="00170C09"/>
    <w:rsid w:val="00170D3C"/>
    <w:rsid w:val="001855C4"/>
    <w:rsid w:val="00194003"/>
    <w:rsid w:val="001B76D4"/>
    <w:rsid w:val="001D0C0D"/>
    <w:rsid w:val="001D5065"/>
    <w:rsid w:val="001E7CF5"/>
    <w:rsid w:val="00201493"/>
    <w:rsid w:val="002159B2"/>
    <w:rsid w:val="00244BBF"/>
    <w:rsid w:val="0026658F"/>
    <w:rsid w:val="00270221"/>
    <w:rsid w:val="00277769"/>
    <w:rsid w:val="00282CC8"/>
    <w:rsid w:val="00294CFE"/>
    <w:rsid w:val="002964AE"/>
    <w:rsid w:val="002A7B0E"/>
    <w:rsid w:val="002D5F87"/>
    <w:rsid w:val="002E519C"/>
    <w:rsid w:val="002F5571"/>
    <w:rsid w:val="0030408F"/>
    <w:rsid w:val="00305686"/>
    <w:rsid w:val="00306C12"/>
    <w:rsid w:val="00306DC6"/>
    <w:rsid w:val="00315235"/>
    <w:rsid w:val="0033397A"/>
    <w:rsid w:val="003545AA"/>
    <w:rsid w:val="00360066"/>
    <w:rsid w:val="00372576"/>
    <w:rsid w:val="003D6596"/>
    <w:rsid w:val="003D6EFB"/>
    <w:rsid w:val="003E7311"/>
    <w:rsid w:val="003F2A54"/>
    <w:rsid w:val="00410F83"/>
    <w:rsid w:val="00412918"/>
    <w:rsid w:val="0042053C"/>
    <w:rsid w:val="00421675"/>
    <w:rsid w:val="004459D2"/>
    <w:rsid w:val="0045575F"/>
    <w:rsid w:val="00480F16"/>
    <w:rsid w:val="00483C3E"/>
    <w:rsid w:val="00485FE3"/>
    <w:rsid w:val="004D4704"/>
    <w:rsid w:val="004D5C18"/>
    <w:rsid w:val="004E009D"/>
    <w:rsid w:val="004E5CED"/>
    <w:rsid w:val="004F0C45"/>
    <w:rsid w:val="00553575"/>
    <w:rsid w:val="005627F7"/>
    <w:rsid w:val="0057138B"/>
    <w:rsid w:val="00584AB5"/>
    <w:rsid w:val="005C0E7E"/>
    <w:rsid w:val="005D55EA"/>
    <w:rsid w:val="00614EB0"/>
    <w:rsid w:val="00616E51"/>
    <w:rsid w:val="0062621F"/>
    <w:rsid w:val="00634D3F"/>
    <w:rsid w:val="00646474"/>
    <w:rsid w:val="00680419"/>
    <w:rsid w:val="00682E4E"/>
    <w:rsid w:val="00684C3A"/>
    <w:rsid w:val="006A79BE"/>
    <w:rsid w:val="006B0B20"/>
    <w:rsid w:val="006D17C5"/>
    <w:rsid w:val="006E3F20"/>
    <w:rsid w:val="007135F6"/>
    <w:rsid w:val="00731F97"/>
    <w:rsid w:val="007433F3"/>
    <w:rsid w:val="00751DAF"/>
    <w:rsid w:val="007704B7"/>
    <w:rsid w:val="0078725C"/>
    <w:rsid w:val="007A45E1"/>
    <w:rsid w:val="007B080D"/>
    <w:rsid w:val="007F39C2"/>
    <w:rsid w:val="00836240"/>
    <w:rsid w:val="00845E60"/>
    <w:rsid w:val="0084731B"/>
    <w:rsid w:val="0086052B"/>
    <w:rsid w:val="00861373"/>
    <w:rsid w:val="00861EA9"/>
    <w:rsid w:val="008662DD"/>
    <w:rsid w:val="0086679D"/>
    <w:rsid w:val="00875CEA"/>
    <w:rsid w:val="008A6D81"/>
    <w:rsid w:val="008B25A5"/>
    <w:rsid w:val="008C68C8"/>
    <w:rsid w:val="008D5BC3"/>
    <w:rsid w:val="009161CD"/>
    <w:rsid w:val="0091671E"/>
    <w:rsid w:val="00922E8E"/>
    <w:rsid w:val="009274CD"/>
    <w:rsid w:val="00930995"/>
    <w:rsid w:val="009338BE"/>
    <w:rsid w:val="009356EC"/>
    <w:rsid w:val="00944537"/>
    <w:rsid w:val="0094738D"/>
    <w:rsid w:val="00953DFB"/>
    <w:rsid w:val="00973637"/>
    <w:rsid w:val="0097411F"/>
    <w:rsid w:val="00990B50"/>
    <w:rsid w:val="0099328C"/>
    <w:rsid w:val="009A3054"/>
    <w:rsid w:val="009A7EF0"/>
    <w:rsid w:val="009D6ECB"/>
    <w:rsid w:val="009F6E0F"/>
    <w:rsid w:val="00A21C5C"/>
    <w:rsid w:val="00A27F3F"/>
    <w:rsid w:val="00A404A1"/>
    <w:rsid w:val="00A41912"/>
    <w:rsid w:val="00A71C25"/>
    <w:rsid w:val="00A772E5"/>
    <w:rsid w:val="00AA0AF1"/>
    <w:rsid w:val="00AA78CB"/>
    <w:rsid w:val="00AB1AAA"/>
    <w:rsid w:val="00AB683B"/>
    <w:rsid w:val="00AD3A91"/>
    <w:rsid w:val="00AE2D62"/>
    <w:rsid w:val="00B169E3"/>
    <w:rsid w:val="00B33647"/>
    <w:rsid w:val="00B462D8"/>
    <w:rsid w:val="00B67C82"/>
    <w:rsid w:val="00BB154A"/>
    <w:rsid w:val="00BC5C96"/>
    <w:rsid w:val="00BD33B6"/>
    <w:rsid w:val="00BF4747"/>
    <w:rsid w:val="00C14BC4"/>
    <w:rsid w:val="00C17BFA"/>
    <w:rsid w:val="00C560F1"/>
    <w:rsid w:val="00C60BAE"/>
    <w:rsid w:val="00C65A03"/>
    <w:rsid w:val="00C75C8E"/>
    <w:rsid w:val="00C817D4"/>
    <w:rsid w:val="00C82EF1"/>
    <w:rsid w:val="00CB7F0F"/>
    <w:rsid w:val="00CC180E"/>
    <w:rsid w:val="00CC29E1"/>
    <w:rsid w:val="00CE1F46"/>
    <w:rsid w:val="00CE576F"/>
    <w:rsid w:val="00D068AC"/>
    <w:rsid w:val="00D10FE5"/>
    <w:rsid w:val="00D163D8"/>
    <w:rsid w:val="00D17989"/>
    <w:rsid w:val="00D440D3"/>
    <w:rsid w:val="00D5625F"/>
    <w:rsid w:val="00D655A7"/>
    <w:rsid w:val="00D74E25"/>
    <w:rsid w:val="00D874CD"/>
    <w:rsid w:val="00DB3902"/>
    <w:rsid w:val="00E00018"/>
    <w:rsid w:val="00E268BE"/>
    <w:rsid w:val="00E55C1F"/>
    <w:rsid w:val="00E82DE1"/>
    <w:rsid w:val="00E93B5A"/>
    <w:rsid w:val="00E946A6"/>
    <w:rsid w:val="00EA60F1"/>
    <w:rsid w:val="00EC4827"/>
    <w:rsid w:val="00EC7A75"/>
    <w:rsid w:val="00EF0A57"/>
    <w:rsid w:val="00F11972"/>
    <w:rsid w:val="00F12DFA"/>
    <w:rsid w:val="00F418F4"/>
    <w:rsid w:val="00F435AC"/>
    <w:rsid w:val="00F50D93"/>
    <w:rsid w:val="00F6550D"/>
    <w:rsid w:val="00F73D28"/>
    <w:rsid w:val="00F873E2"/>
    <w:rsid w:val="00FB491C"/>
    <w:rsid w:val="00FB5179"/>
    <w:rsid w:val="00FC126E"/>
    <w:rsid w:val="00FD505F"/>
    <w:rsid w:val="00FF7369"/>
    <w:rsid w:val="01DC4D04"/>
    <w:rsid w:val="03B13645"/>
    <w:rsid w:val="0499691E"/>
    <w:rsid w:val="06C73E8E"/>
    <w:rsid w:val="0BCB3631"/>
    <w:rsid w:val="0F165BE9"/>
    <w:rsid w:val="12921D25"/>
    <w:rsid w:val="1E1E6301"/>
    <w:rsid w:val="1E470DC0"/>
    <w:rsid w:val="1E6A2C74"/>
    <w:rsid w:val="24EF2629"/>
    <w:rsid w:val="28E05B40"/>
    <w:rsid w:val="29AE2943"/>
    <w:rsid w:val="338B53E7"/>
    <w:rsid w:val="39237976"/>
    <w:rsid w:val="3DE51DB8"/>
    <w:rsid w:val="42C20C28"/>
    <w:rsid w:val="432142C5"/>
    <w:rsid w:val="45F65AB9"/>
    <w:rsid w:val="47D36560"/>
    <w:rsid w:val="4AE443D1"/>
    <w:rsid w:val="4EB6690D"/>
    <w:rsid w:val="526D487B"/>
    <w:rsid w:val="5B3F41E0"/>
    <w:rsid w:val="5C4300D6"/>
    <w:rsid w:val="5E197728"/>
    <w:rsid w:val="5EA51AE9"/>
    <w:rsid w:val="5EFC404F"/>
    <w:rsid w:val="6F350608"/>
    <w:rsid w:val="71D0780A"/>
    <w:rsid w:val="72EF3991"/>
    <w:rsid w:val="761465CE"/>
    <w:rsid w:val="76E51514"/>
    <w:rsid w:val="773A0D3A"/>
    <w:rsid w:val="7768521F"/>
    <w:rsid w:val="7B48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BA014F"/>
  <w15:chartTrackingRefBased/>
  <w15:docId w15:val="{02CFAA6B-8D9F-4B49-8C70-8F5DE834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44"/>
      <w:sz w:val="32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pPr>
      <w:spacing w:after="200" w:line="276" w:lineRule="auto"/>
    </w:pPr>
    <w:rPr>
      <w:rFonts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="420"/>
    </w:pPr>
    <w:rPr>
      <w:szCs w:val="20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table" w:styleId="a9">
    <w:name w:val="Table Grid"/>
    <w:basedOn w:val="a1"/>
    <w:pPr>
      <w:widowControl w:val="0"/>
      <w:spacing w:after="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Pr>
      <w:color w:val="0000FF"/>
      <w:u w:val="single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244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项目需求书</dc:title>
  <dc:subject/>
  <dc:creator>薛昊</dc:creator>
  <cp:keywords/>
  <cp:lastModifiedBy>Administrator</cp:lastModifiedBy>
  <cp:revision>3</cp:revision>
  <cp:lastPrinted>2012-08-27T04:05:00Z</cp:lastPrinted>
  <dcterms:created xsi:type="dcterms:W3CDTF">2022-08-31T07:18:00Z</dcterms:created>
  <dcterms:modified xsi:type="dcterms:W3CDTF">2022-08-31T07:19:00Z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74EB5EF519D34860AC1A7CAE871474FC</vt:lpwstr>
  </property>
</Properties>
</file>