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jc w:val="center"/>
        <w:rPr>
          <w:rFonts w:ascii="宋体" w:hAnsi="宋体"/>
          <w:b/>
          <w:color w:val="FF0000"/>
          <w:sz w:val="36"/>
          <w:szCs w:val="36"/>
        </w:rPr>
      </w:pPr>
      <w:r>
        <w:rPr>
          <w:rFonts w:hint="eastAsia" w:ascii="宋体" w:hAnsi="宋体" w:cs="宋体"/>
          <w:b/>
          <w:color w:val="000000"/>
          <w:sz w:val="36"/>
          <w:szCs w:val="36"/>
        </w:rPr>
        <w:t>天津轻工职业技术学院智能变电站虚拟仿真实训室</w:t>
      </w:r>
      <w:r>
        <w:rPr>
          <w:rFonts w:hint="eastAsia" w:ascii="宋体" w:hAnsi="宋体"/>
          <w:b/>
          <w:sz w:val="36"/>
          <w:szCs w:val="36"/>
        </w:rPr>
        <w:t>项目需求书</w:t>
      </w:r>
    </w:p>
    <w:p>
      <w:pPr>
        <w:spacing w:line="360" w:lineRule="auto"/>
        <w:ind w:firstLine="480" w:firstLineChars="200"/>
        <w:jc w:val="left"/>
        <w:rPr>
          <w:rFonts w:ascii="微软雅黑" w:hAnsi="微软雅黑" w:eastAsia="微软雅黑"/>
          <w:sz w:val="24"/>
          <w:szCs w:val="28"/>
        </w:rPr>
      </w:pPr>
    </w:p>
    <w:p>
      <w:pPr>
        <w:spacing w:line="360" w:lineRule="auto"/>
        <w:ind w:firstLine="480" w:firstLineChars="200"/>
        <w:jc w:val="left"/>
        <w:rPr>
          <w:rFonts w:ascii="微软雅黑" w:hAnsi="微软雅黑" w:eastAsia="微软雅黑"/>
          <w:sz w:val="24"/>
          <w:szCs w:val="28"/>
        </w:rPr>
      </w:pPr>
      <w:r>
        <w:rPr>
          <w:rFonts w:hint="eastAsia" w:ascii="微软雅黑" w:hAnsi="微软雅黑" w:eastAsia="微软雅黑"/>
          <w:sz w:val="24"/>
          <w:szCs w:val="28"/>
        </w:rPr>
        <w:t>预算金额：1</w:t>
      </w:r>
      <w:r>
        <w:rPr>
          <w:rFonts w:ascii="微软雅黑" w:hAnsi="微软雅黑" w:eastAsia="微软雅黑"/>
          <w:sz w:val="24"/>
          <w:szCs w:val="28"/>
        </w:rPr>
        <w:t>65</w:t>
      </w:r>
      <w:r>
        <w:rPr>
          <w:rFonts w:hint="eastAsia" w:ascii="微软雅黑" w:hAnsi="微软雅黑" w:eastAsia="微软雅黑"/>
          <w:sz w:val="24"/>
          <w:szCs w:val="28"/>
        </w:rPr>
        <w:t>万元     货物类项目</w:t>
      </w:r>
    </w:p>
    <w:p>
      <w:pPr>
        <w:spacing w:line="360" w:lineRule="auto"/>
        <w:ind w:firstLine="480" w:firstLineChars="200"/>
        <w:jc w:val="left"/>
        <w:rPr>
          <w:rFonts w:ascii="微软雅黑" w:hAnsi="微软雅黑" w:eastAsia="微软雅黑"/>
          <w:sz w:val="24"/>
          <w:szCs w:val="28"/>
          <w:highlight w:val="none"/>
        </w:rPr>
      </w:pPr>
      <w:r>
        <w:rPr>
          <w:rFonts w:hint="eastAsia" w:ascii="微软雅黑" w:hAnsi="微软雅黑" w:eastAsia="微软雅黑"/>
          <w:sz w:val="24"/>
          <w:szCs w:val="28"/>
          <w:highlight w:val="none"/>
        </w:rPr>
        <w:t>[本项目面向全部企业]</w:t>
      </w:r>
    </w:p>
    <w:p>
      <w:pPr>
        <w:spacing w:line="360" w:lineRule="auto"/>
        <w:ind w:firstLine="480" w:firstLineChars="200"/>
        <w:jc w:val="left"/>
        <w:rPr>
          <w:rFonts w:ascii="微软雅黑" w:hAnsi="微软雅黑" w:eastAsia="微软雅黑"/>
          <w:sz w:val="24"/>
          <w:szCs w:val="28"/>
        </w:rPr>
      </w:pPr>
    </w:p>
    <w:p>
      <w:pPr>
        <w:spacing w:line="360" w:lineRule="auto"/>
        <w:rPr>
          <w:rFonts w:ascii="宋体" w:hAnsi="宋体"/>
          <w:sz w:val="24"/>
        </w:rPr>
      </w:pPr>
      <w:r>
        <w:rPr>
          <w:rFonts w:hint="eastAsia" w:ascii="宋体" w:hAnsi="宋体"/>
          <w:sz w:val="24"/>
        </w:rPr>
        <w:t>一、项目背景</w:t>
      </w:r>
    </w:p>
    <w:p>
      <w:pPr>
        <w:spacing w:line="360" w:lineRule="auto"/>
        <w:ind w:firstLine="480" w:firstLineChars="200"/>
        <w:rPr>
          <w:rFonts w:ascii="宋体" w:hAnsi="宋体"/>
          <w:sz w:val="24"/>
        </w:rPr>
      </w:pPr>
      <w:r>
        <w:rPr>
          <w:rFonts w:hint="eastAsia" w:ascii="宋体" w:hAnsi="宋体"/>
          <w:sz w:val="24"/>
        </w:rPr>
        <w:t>鉴于电力系统自动化程度的提高和智能电网技术的发展，电力运维人员的能力必须相应提升。虚拟仿真软件具备高效、经济、操作简便等优点，可广泛应用于发电、变电、配电以及电网调度等多个方向。通过建设与实际智能变电站运行状况相同或相似的仿真环境，对学生进行巡视、维护、事故异常分析及处理等方面的技能培训。通过在仿真培训系统上完成各种训练，还可以全面而快速地提高学生的操作技能，而且可以通过模拟运维中出现的异常情况、故障报错、动作过程、相互影响等，提高学生分析处理事故的能力，并同时适应目前变电运维"全流程、全防误、全顺控"的新操作模式。全面提升学生的技能水平，帮助学生取得教育部联合国家电网推出的国网1+X证书，增加学生就业竞争力。</w:t>
      </w:r>
    </w:p>
    <w:p>
      <w:pPr>
        <w:spacing w:line="360" w:lineRule="auto"/>
        <w:rPr>
          <w:rFonts w:ascii="宋体" w:hAnsi="宋体"/>
          <w:sz w:val="24"/>
        </w:rPr>
      </w:pPr>
      <w:r>
        <w:rPr>
          <w:rFonts w:hint="eastAsia" w:ascii="宋体" w:hAnsi="宋体"/>
          <w:sz w:val="24"/>
        </w:rPr>
        <w:t>二、商务需求</w:t>
      </w:r>
    </w:p>
    <w:tbl>
      <w:tblPr>
        <w:tblStyle w:val="7"/>
        <w:tblW w:w="473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6"/>
        <w:gridCol w:w="1443"/>
        <w:gridCol w:w="5044"/>
        <w:gridCol w:w="1607"/>
        <w:gridCol w:w="44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319"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538"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需求条款</w:t>
            </w:r>
          </w:p>
        </w:tc>
        <w:tc>
          <w:tcPr>
            <w:tcW w:w="1880"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具体要求</w:t>
            </w:r>
          </w:p>
        </w:tc>
        <w:tc>
          <w:tcPr>
            <w:tcW w:w="599"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是否为实质性条款</w:t>
            </w:r>
          </w:p>
        </w:tc>
        <w:tc>
          <w:tcPr>
            <w:tcW w:w="1662"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原因说明（实质性条款需列明原因）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Merge w:val="restart"/>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538" w:type="pct"/>
            <w:vMerge w:val="restart"/>
            <w:vAlign w:val="center"/>
          </w:tcPr>
          <w:p>
            <w:pPr>
              <w:widowControl/>
              <w:jc w:val="center"/>
              <w:rPr>
                <w:rFonts w:ascii="宋体" w:hAnsi="宋体" w:cs="宋体"/>
                <w:color w:val="000000"/>
                <w:kern w:val="0"/>
                <w:sz w:val="24"/>
              </w:rPr>
            </w:pPr>
            <w:r>
              <w:rPr>
                <w:rFonts w:hint="eastAsia" w:ascii="宋体" w:hAnsi="宋体"/>
                <w:color w:val="000000"/>
                <w:sz w:val="24"/>
              </w:rPr>
              <w:t>实质性资格要求</w:t>
            </w:r>
          </w:p>
        </w:tc>
        <w:tc>
          <w:tcPr>
            <w:tcW w:w="1880" w:type="pct"/>
            <w:vAlign w:val="center"/>
          </w:tcPr>
          <w:p>
            <w:pPr>
              <w:widowControl/>
              <w:jc w:val="left"/>
              <w:rPr>
                <w:rFonts w:ascii="宋体" w:hAnsi="宋体" w:cs="宋体"/>
                <w:color w:val="000000"/>
                <w:kern w:val="0"/>
                <w:sz w:val="24"/>
              </w:rPr>
            </w:pPr>
            <w:r>
              <w:rPr>
                <w:rFonts w:hint="eastAsia" w:ascii="宋体" w:hAnsi="宋体" w:cs="宋体"/>
                <w:color w:val="000000"/>
                <w:kern w:val="0"/>
                <w:sz w:val="24"/>
              </w:rPr>
              <w:t>（一）供应商须提供营业执照副本或事业单位法人证书或民办非企业单位登记证书或社会团体法人登记证书或基金会法人登记证书复印件并加盖公章</w:t>
            </w:r>
          </w:p>
        </w:tc>
        <w:tc>
          <w:tcPr>
            <w:tcW w:w="599"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是</w:t>
            </w:r>
          </w:p>
        </w:tc>
        <w:tc>
          <w:tcPr>
            <w:tcW w:w="1662"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符合国家招标要求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Merge w:val="continue"/>
            <w:vAlign w:val="center"/>
          </w:tcPr>
          <w:p>
            <w:pPr>
              <w:jc w:val="center"/>
              <w:rPr>
                <w:rFonts w:ascii="宋体" w:hAnsi="宋体" w:cs="宋体"/>
                <w:color w:val="000000"/>
                <w:kern w:val="0"/>
                <w:sz w:val="24"/>
              </w:rPr>
            </w:pPr>
          </w:p>
        </w:tc>
        <w:tc>
          <w:tcPr>
            <w:tcW w:w="538" w:type="pct"/>
            <w:vMerge w:val="continue"/>
            <w:vAlign w:val="center"/>
          </w:tcPr>
          <w:p>
            <w:pPr>
              <w:widowControl/>
              <w:jc w:val="center"/>
              <w:rPr>
                <w:rFonts w:ascii="宋体" w:hAnsi="宋体" w:cs="宋体"/>
                <w:color w:val="000000"/>
                <w:kern w:val="0"/>
                <w:sz w:val="24"/>
              </w:rPr>
            </w:pPr>
          </w:p>
        </w:tc>
        <w:tc>
          <w:tcPr>
            <w:tcW w:w="1880" w:type="pct"/>
            <w:vAlign w:val="center"/>
          </w:tcPr>
          <w:p>
            <w:pPr>
              <w:widowControl/>
              <w:jc w:val="left"/>
              <w:rPr>
                <w:rFonts w:ascii="宋体" w:hAnsi="宋体" w:cs="宋体"/>
                <w:color w:val="000000"/>
                <w:kern w:val="0"/>
                <w:sz w:val="24"/>
              </w:rPr>
            </w:pPr>
            <w:r>
              <w:rPr>
                <w:rFonts w:hint="eastAsia" w:ascii="宋体" w:hAnsi="宋体" w:cs="宋体"/>
                <w:color w:val="000000"/>
                <w:kern w:val="0"/>
                <w:sz w:val="24"/>
              </w:rPr>
              <w:t>（二）供应商须提供2020年度或2021年度经第三方会计师事务所审计的企业财务报告复印件，或提交响应文件截止日期前一个月内银行出具的资信证明</w:t>
            </w:r>
          </w:p>
        </w:tc>
        <w:tc>
          <w:tcPr>
            <w:tcW w:w="599"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是</w:t>
            </w:r>
          </w:p>
        </w:tc>
        <w:tc>
          <w:tcPr>
            <w:tcW w:w="1662" w:type="pct"/>
            <w:vAlign w:val="center"/>
          </w:tcPr>
          <w:p>
            <w:pPr>
              <w:jc w:val="center"/>
            </w:pPr>
            <w:r>
              <w:rPr>
                <w:rFonts w:hint="eastAsia" w:ascii="宋体" w:hAnsi="宋体" w:cs="宋体"/>
                <w:color w:val="000000"/>
                <w:kern w:val="0"/>
                <w:sz w:val="24"/>
              </w:rPr>
              <w:t>符合国家招标要求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Merge w:val="continue"/>
            <w:vAlign w:val="center"/>
          </w:tcPr>
          <w:p>
            <w:pPr>
              <w:jc w:val="center"/>
              <w:rPr>
                <w:rFonts w:ascii="宋体" w:hAnsi="宋体" w:cs="宋体"/>
                <w:color w:val="000000"/>
                <w:kern w:val="0"/>
                <w:sz w:val="24"/>
              </w:rPr>
            </w:pPr>
          </w:p>
        </w:tc>
        <w:tc>
          <w:tcPr>
            <w:tcW w:w="538" w:type="pct"/>
            <w:vMerge w:val="continue"/>
            <w:vAlign w:val="center"/>
          </w:tcPr>
          <w:p>
            <w:pPr>
              <w:widowControl/>
              <w:jc w:val="center"/>
              <w:rPr>
                <w:rFonts w:ascii="宋体" w:hAnsi="宋体" w:cs="宋体"/>
                <w:color w:val="000000"/>
                <w:kern w:val="0"/>
                <w:sz w:val="24"/>
              </w:rPr>
            </w:pPr>
          </w:p>
        </w:tc>
        <w:tc>
          <w:tcPr>
            <w:tcW w:w="1880" w:type="pct"/>
            <w:vAlign w:val="center"/>
          </w:tcPr>
          <w:p>
            <w:pPr>
              <w:widowControl/>
              <w:jc w:val="left"/>
              <w:rPr>
                <w:rFonts w:ascii="宋体" w:hAnsi="宋体" w:cs="宋体"/>
                <w:color w:val="000000"/>
                <w:kern w:val="0"/>
                <w:sz w:val="24"/>
              </w:rPr>
            </w:pPr>
            <w:r>
              <w:rPr>
                <w:rFonts w:hint="eastAsia" w:ascii="宋体" w:hAnsi="宋体" w:cs="宋体"/>
                <w:color w:val="000000"/>
                <w:kern w:val="0"/>
                <w:sz w:val="24"/>
              </w:rPr>
              <w:t>（三）供2022年度至少1个月的依法缴纳税收和社会保障资金（专用收据或社会保险缴纳清单等）的相关证明材料复印件并加盖公章。依法免税或不需要缴纳社会保障资金的供应商，应提供税务机关出具的依法免税的证明文件或社会保险基金管理部门出具的不需要缴纳社会保障资金的证明文件</w:t>
            </w:r>
          </w:p>
        </w:tc>
        <w:tc>
          <w:tcPr>
            <w:tcW w:w="599"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是</w:t>
            </w:r>
          </w:p>
        </w:tc>
        <w:tc>
          <w:tcPr>
            <w:tcW w:w="1662" w:type="pct"/>
            <w:vAlign w:val="center"/>
          </w:tcPr>
          <w:p>
            <w:pPr>
              <w:jc w:val="center"/>
            </w:pPr>
            <w:r>
              <w:rPr>
                <w:rFonts w:hint="eastAsia" w:ascii="宋体" w:hAnsi="宋体" w:cs="宋体"/>
                <w:color w:val="000000"/>
                <w:kern w:val="0"/>
                <w:sz w:val="24"/>
              </w:rPr>
              <w:t>符合国家招标要求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Merge w:val="continue"/>
            <w:vAlign w:val="center"/>
          </w:tcPr>
          <w:p>
            <w:pPr>
              <w:widowControl/>
              <w:jc w:val="center"/>
              <w:rPr>
                <w:rFonts w:ascii="宋体" w:hAnsi="宋体" w:cs="宋体"/>
                <w:color w:val="000000"/>
                <w:kern w:val="0"/>
                <w:sz w:val="24"/>
              </w:rPr>
            </w:pPr>
          </w:p>
        </w:tc>
        <w:tc>
          <w:tcPr>
            <w:tcW w:w="538" w:type="pct"/>
            <w:vMerge w:val="continue"/>
            <w:vAlign w:val="center"/>
          </w:tcPr>
          <w:p>
            <w:pPr>
              <w:widowControl/>
              <w:jc w:val="center"/>
              <w:rPr>
                <w:rFonts w:ascii="宋体" w:hAnsi="宋体" w:cs="宋体"/>
                <w:color w:val="000000"/>
                <w:kern w:val="0"/>
                <w:sz w:val="24"/>
              </w:rPr>
            </w:pPr>
          </w:p>
        </w:tc>
        <w:tc>
          <w:tcPr>
            <w:tcW w:w="1880" w:type="pct"/>
          </w:tcPr>
          <w:p>
            <w:pPr>
              <w:rPr>
                <w:rFonts w:ascii="宋体" w:hAnsi="宋体"/>
                <w:sz w:val="24"/>
              </w:rPr>
            </w:pPr>
            <w:r>
              <w:rPr>
                <w:rFonts w:hint="eastAsia" w:ascii="宋体" w:hAnsi="宋体"/>
                <w:sz w:val="24"/>
              </w:rPr>
              <w:t>（四）供应商须提供响应文件截止日前3年在经营活动中没有重大违法记录的书面声明（截至提交响应文件截止日成立不足3年的供应商可提供自成立以来无重大违法记录的书面声明）</w:t>
            </w:r>
          </w:p>
        </w:tc>
        <w:tc>
          <w:tcPr>
            <w:tcW w:w="599"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是</w:t>
            </w:r>
          </w:p>
        </w:tc>
        <w:tc>
          <w:tcPr>
            <w:tcW w:w="1662" w:type="pct"/>
            <w:vAlign w:val="center"/>
          </w:tcPr>
          <w:p>
            <w:pPr>
              <w:jc w:val="center"/>
            </w:pPr>
            <w:r>
              <w:rPr>
                <w:rFonts w:hint="eastAsia" w:ascii="宋体" w:hAnsi="宋体" w:cs="宋体"/>
                <w:color w:val="000000"/>
                <w:kern w:val="0"/>
                <w:sz w:val="24"/>
              </w:rPr>
              <w:t>符合国家招标要求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Merge w:val="continue"/>
            <w:vAlign w:val="center"/>
          </w:tcPr>
          <w:p>
            <w:pPr>
              <w:widowControl/>
              <w:jc w:val="center"/>
              <w:rPr>
                <w:rFonts w:ascii="宋体" w:hAnsi="宋体" w:cs="宋体"/>
                <w:color w:val="000000"/>
                <w:kern w:val="0"/>
                <w:sz w:val="24"/>
              </w:rPr>
            </w:pPr>
          </w:p>
        </w:tc>
        <w:tc>
          <w:tcPr>
            <w:tcW w:w="538" w:type="pct"/>
            <w:vMerge w:val="continue"/>
            <w:vAlign w:val="center"/>
          </w:tcPr>
          <w:p>
            <w:pPr>
              <w:widowControl/>
              <w:jc w:val="center"/>
              <w:rPr>
                <w:rFonts w:ascii="宋体" w:hAnsi="宋体" w:cs="宋体"/>
                <w:color w:val="000000"/>
                <w:kern w:val="0"/>
                <w:sz w:val="24"/>
              </w:rPr>
            </w:pPr>
          </w:p>
        </w:tc>
        <w:tc>
          <w:tcPr>
            <w:tcW w:w="1880" w:type="pct"/>
          </w:tcPr>
          <w:p>
            <w:pPr>
              <w:rPr>
                <w:rFonts w:ascii="宋体" w:hAnsi="宋体"/>
                <w:sz w:val="24"/>
              </w:rPr>
            </w:pPr>
            <w:r>
              <w:rPr>
                <w:rFonts w:hint="eastAsia" w:ascii="宋体" w:hAnsi="宋体"/>
                <w:sz w:val="24"/>
              </w:rPr>
              <w:t>（五）供应商须由法定代表人或其授权的委托代理人参加磋商。供应商若由法定代表人参与磋商，须提供法定代表人资格证明书（须加盖供应商单位公章并由法定代表人签字或盖章）和法定代表人身份证原件；供应商若由授权代表参与磋商，须提供法定代表人授权书（须加盖供应商单位公章并由法定代表人签字或盖章）和授权代表身份证原件</w:t>
            </w:r>
          </w:p>
        </w:tc>
        <w:tc>
          <w:tcPr>
            <w:tcW w:w="599" w:type="pct"/>
            <w:vAlign w:val="center"/>
          </w:tcPr>
          <w:p>
            <w:pPr>
              <w:jc w:val="center"/>
            </w:pPr>
            <w:r>
              <w:rPr>
                <w:rFonts w:hint="eastAsia" w:ascii="宋体" w:hAnsi="宋体" w:cs="宋体"/>
                <w:color w:val="000000"/>
                <w:kern w:val="0"/>
                <w:sz w:val="24"/>
              </w:rPr>
              <w:t>是</w:t>
            </w:r>
          </w:p>
        </w:tc>
        <w:tc>
          <w:tcPr>
            <w:tcW w:w="1662" w:type="pct"/>
            <w:vAlign w:val="center"/>
          </w:tcPr>
          <w:p>
            <w:pPr>
              <w:jc w:val="center"/>
            </w:pPr>
            <w:r>
              <w:rPr>
                <w:rFonts w:hint="eastAsia" w:ascii="宋体" w:hAnsi="宋体" w:cs="宋体"/>
                <w:color w:val="000000"/>
                <w:kern w:val="0"/>
                <w:sz w:val="24"/>
              </w:rPr>
              <w:t>符合国家招标要求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Merge w:val="continue"/>
            <w:vAlign w:val="center"/>
          </w:tcPr>
          <w:p>
            <w:pPr>
              <w:widowControl/>
              <w:jc w:val="center"/>
              <w:rPr>
                <w:rFonts w:ascii="宋体" w:hAnsi="宋体" w:cs="宋体"/>
                <w:color w:val="000000"/>
                <w:kern w:val="0"/>
                <w:sz w:val="24"/>
              </w:rPr>
            </w:pPr>
          </w:p>
        </w:tc>
        <w:tc>
          <w:tcPr>
            <w:tcW w:w="538" w:type="pct"/>
            <w:vMerge w:val="continue"/>
            <w:vAlign w:val="center"/>
          </w:tcPr>
          <w:p>
            <w:pPr>
              <w:widowControl/>
              <w:jc w:val="center"/>
              <w:rPr>
                <w:rFonts w:ascii="宋体" w:hAnsi="宋体" w:cs="宋体"/>
                <w:color w:val="000000"/>
                <w:kern w:val="0"/>
                <w:sz w:val="24"/>
              </w:rPr>
            </w:pPr>
          </w:p>
        </w:tc>
        <w:tc>
          <w:tcPr>
            <w:tcW w:w="1880" w:type="pct"/>
          </w:tcPr>
          <w:p>
            <w:pPr>
              <w:rPr>
                <w:rFonts w:ascii="宋体" w:hAnsi="宋体"/>
                <w:sz w:val="24"/>
              </w:rPr>
            </w:pPr>
            <w:r>
              <w:rPr>
                <w:rFonts w:hint="eastAsia" w:ascii="宋体" w:hAnsi="宋体"/>
                <w:sz w:val="24"/>
              </w:rPr>
              <w:t>（六）本项目不接受联合体参与磋商。</w:t>
            </w:r>
          </w:p>
        </w:tc>
        <w:tc>
          <w:tcPr>
            <w:tcW w:w="599" w:type="pct"/>
            <w:vAlign w:val="center"/>
          </w:tcPr>
          <w:p>
            <w:pPr>
              <w:jc w:val="center"/>
            </w:pPr>
            <w:r>
              <w:rPr>
                <w:rFonts w:hint="eastAsia" w:ascii="宋体" w:hAnsi="宋体" w:cs="宋体"/>
                <w:color w:val="000000"/>
                <w:kern w:val="0"/>
                <w:sz w:val="24"/>
              </w:rPr>
              <w:t>是</w:t>
            </w:r>
          </w:p>
        </w:tc>
        <w:tc>
          <w:tcPr>
            <w:tcW w:w="1662"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符合国家招标要求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538" w:type="pct"/>
            <w:vMerge w:val="restart"/>
            <w:vAlign w:val="center"/>
          </w:tcPr>
          <w:p>
            <w:pPr>
              <w:widowControl/>
              <w:jc w:val="center"/>
              <w:rPr>
                <w:rFonts w:ascii="宋体" w:hAnsi="宋体" w:cs="宋体"/>
                <w:kern w:val="0"/>
                <w:sz w:val="24"/>
              </w:rPr>
            </w:pPr>
            <w:r>
              <w:rPr>
                <w:rFonts w:hint="eastAsia" w:ascii="宋体" w:hAnsi="宋体"/>
                <w:sz w:val="24"/>
              </w:rPr>
              <w:t>服务要求</w:t>
            </w:r>
          </w:p>
        </w:tc>
        <w:tc>
          <w:tcPr>
            <w:tcW w:w="1880" w:type="pct"/>
            <w:vAlign w:val="center"/>
          </w:tcPr>
          <w:p>
            <w:pPr>
              <w:widowControl/>
              <w:jc w:val="left"/>
              <w:rPr>
                <w:rFonts w:ascii="宋体" w:hAnsi="宋体" w:cs="宋体"/>
                <w:kern w:val="0"/>
                <w:sz w:val="24"/>
              </w:rPr>
            </w:pPr>
            <w:r>
              <w:rPr>
                <w:rFonts w:hint="eastAsia" w:ascii="宋体" w:hAnsi="宋体" w:cs="宋体"/>
                <w:kern w:val="0"/>
                <w:sz w:val="24"/>
              </w:rPr>
              <w:t>1.</w:t>
            </w:r>
            <w:r>
              <w:rPr>
                <w:rFonts w:hint="eastAsia" w:ascii="宋体" w:hAnsi="宋体"/>
                <w:sz w:val="24"/>
              </w:rPr>
              <w:t>提供所投产品</w:t>
            </w:r>
            <w:r>
              <w:rPr>
                <w:rFonts w:ascii="宋体" w:hAnsi="宋体"/>
                <w:sz w:val="24"/>
              </w:rPr>
              <w:t>3</w:t>
            </w:r>
            <w:r>
              <w:rPr>
                <w:rFonts w:hint="eastAsia" w:ascii="宋体" w:hAnsi="宋体"/>
                <w:sz w:val="24"/>
              </w:rPr>
              <w:t>年的免费上门保修。</w:t>
            </w:r>
          </w:p>
        </w:tc>
        <w:tc>
          <w:tcPr>
            <w:tcW w:w="1607" w:type="dxa"/>
            <w:vAlign w:val="center"/>
          </w:tcPr>
          <w:p>
            <w:pPr>
              <w:jc w:val="center"/>
              <w:rPr>
                <w:rFonts w:ascii="宋体" w:hAnsi="宋体" w:cs="宋体"/>
                <w:color w:val="000000"/>
                <w:kern w:val="0"/>
                <w:sz w:val="24"/>
              </w:rPr>
            </w:pPr>
            <w:r>
              <w:rPr>
                <w:rFonts w:hint="eastAsia" w:ascii="宋体" w:hAnsi="宋体" w:cs="宋体"/>
                <w:color w:val="000000"/>
                <w:kern w:val="0"/>
                <w:sz w:val="24"/>
              </w:rPr>
              <w:t>是</w:t>
            </w:r>
          </w:p>
        </w:tc>
        <w:tc>
          <w:tcPr>
            <w:tcW w:w="1662" w:type="pct"/>
            <w:vAlign w:val="center"/>
          </w:tcPr>
          <w:p>
            <w:pPr>
              <w:widowControl/>
              <w:jc w:val="center"/>
              <w:rPr>
                <w:rFonts w:ascii="宋体" w:hAnsi="宋体"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Merge w:val="continue"/>
            <w:vAlign w:val="center"/>
          </w:tcPr>
          <w:p>
            <w:pPr>
              <w:widowControl/>
              <w:jc w:val="center"/>
              <w:rPr>
                <w:rFonts w:ascii="宋体" w:hAnsi="宋体" w:cs="宋体"/>
                <w:color w:val="000000"/>
                <w:kern w:val="0"/>
                <w:sz w:val="24"/>
              </w:rPr>
            </w:pPr>
          </w:p>
        </w:tc>
        <w:tc>
          <w:tcPr>
            <w:tcW w:w="538" w:type="pct"/>
            <w:vMerge w:val="continue"/>
            <w:vAlign w:val="center"/>
          </w:tcPr>
          <w:p>
            <w:pPr>
              <w:widowControl/>
              <w:jc w:val="center"/>
              <w:rPr>
                <w:rFonts w:ascii="宋体" w:hAnsi="宋体" w:cs="宋体"/>
                <w:kern w:val="0"/>
                <w:sz w:val="24"/>
              </w:rPr>
            </w:pPr>
          </w:p>
        </w:tc>
        <w:tc>
          <w:tcPr>
            <w:tcW w:w="1880" w:type="pct"/>
            <w:vAlign w:val="center"/>
          </w:tcPr>
          <w:p>
            <w:pPr>
              <w:widowControl/>
              <w:jc w:val="left"/>
              <w:rPr>
                <w:rFonts w:ascii="宋体" w:hAnsi="宋体" w:cs="宋体"/>
                <w:kern w:val="0"/>
                <w:sz w:val="24"/>
              </w:rPr>
            </w:pPr>
            <w:r>
              <w:rPr>
                <w:rFonts w:hint="eastAsia" w:ascii="宋体" w:hAnsi="宋体" w:cs="宋体"/>
                <w:kern w:val="0"/>
                <w:sz w:val="24"/>
              </w:rPr>
              <w:t>2.所投产品原厂质保3年。</w:t>
            </w:r>
          </w:p>
        </w:tc>
        <w:tc>
          <w:tcPr>
            <w:tcW w:w="1607" w:type="dxa"/>
            <w:vAlign w:val="center"/>
          </w:tcPr>
          <w:p>
            <w:pPr>
              <w:jc w:val="center"/>
            </w:pPr>
            <w:r>
              <w:rPr>
                <w:rFonts w:hint="eastAsia" w:ascii="宋体" w:hAnsi="宋体" w:cs="宋体"/>
                <w:color w:val="000000"/>
                <w:kern w:val="0"/>
                <w:sz w:val="24"/>
              </w:rPr>
              <w:t>是</w:t>
            </w:r>
          </w:p>
        </w:tc>
        <w:tc>
          <w:tcPr>
            <w:tcW w:w="1662" w:type="pct"/>
            <w:vAlign w:val="center"/>
          </w:tcPr>
          <w:p>
            <w:pPr>
              <w:widowControl/>
              <w:jc w:val="center"/>
              <w:rPr>
                <w:rFonts w:ascii="宋体" w:hAnsi="宋体"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Merge w:val="continue"/>
            <w:vAlign w:val="center"/>
          </w:tcPr>
          <w:p>
            <w:pPr>
              <w:widowControl/>
              <w:jc w:val="center"/>
              <w:rPr>
                <w:rFonts w:ascii="宋体" w:hAnsi="宋体" w:cs="宋体"/>
                <w:color w:val="000000"/>
                <w:kern w:val="0"/>
                <w:sz w:val="24"/>
              </w:rPr>
            </w:pPr>
          </w:p>
        </w:tc>
        <w:tc>
          <w:tcPr>
            <w:tcW w:w="538" w:type="pct"/>
            <w:vMerge w:val="continue"/>
            <w:vAlign w:val="center"/>
          </w:tcPr>
          <w:p>
            <w:pPr>
              <w:widowControl/>
              <w:jc w:val="center"/>
              <w:rPr>
                <w:rFonts w:ascii="宋体" w:hAnsi="宋体" w:cs="宋体"/>
                <w:kern w:val="0"/>
                <w:sz w:val="24"/>
              </w:rPr>
            </w:pPr>
          </w:p>
        </w:tc>
        <w:tc>
          <w:tcPr>
            <w:tcW w:w="1880" w:type="pct"/>
            <w:vAlign w:val="center"/>
          </w:tcPr>
          <w:p>
            <w:pPr>
              <w:widowControl/>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提供7*24小时技术支持，接到报修后4小时内到达现场，24小时内解决故障。</w:t>
            </w:r>
          </w:p>
        </w:tc>
        <w:tc>
          <w:tcPr>
            <w:tcW w:w="1607" w:type="dxa"/>
            <w:vAlign w:val="center"/>
          </w:tcPr>
          <w:p>
            <w:pPr>
              <w:jc w:val="center"/>
            </w:pPr>
            <w:r>
              <w:rPr>
                <w:rFonts w:hint="eastAsia" w:ascii="宋体" w:hAnsi="宋体" w:cs="宋体"/>
                <w:color w:val="000000"/>
                <w:kern w:val="0"/>
                <w:sz w:val="24"/>
              </w:rPr>
              <w:t>是</w:t>
            </w:r>
          </w:p>
        </w:tc>
        <w:tc>
          <w:tcPr>
            <w:tcW w:w="1662" w:type="pct"/>
            <w:vAlign w:val="center"/>
          </w:tcPr>
          <w:p>
            <w:pPr>
              <w:widowControl/>
              <w:jc w:val="center"/>
              <w:rPr>
                <w:rFonts w:ascii="宋体" w:hAnsi="宋体"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Merge w:val="continue"/>
            <w:vAlign w:val="center"/>
          </w:tcPr>
          <w:p>
            <w:pPr>
              <w:widowControl/>
              <w:jc w:val="center"/>
              <w:rPr>
                <w:rFonts w:ascii="宋体" w:hAnsi="宋体" w:cs="宋体"/>
                <w:color w:val="000000"/>
                <w:kern w:val="0"/>
                <w:sz w:val="24"/>
              </w:rPr>
            </w:pPr>
          </w:p>
        </w:tc>
        <w:tc>
          <w:tcPr>
            <w:tcW w:w="538" w:type="pct"/>
            <w:vMerge w:val="continue"/>
            <w:vAlign w:val="center"/>
          </w:tcPr>
          <w:p>
            <w:pPr>
              <w:widowControl/>
              <w:jc w:val="center"/>
              <w:rPr>
                <w:rFonts w:ascii="宋体" w:hAnsi="宋体" w:cs="宋体"/>
                <w:kern w:val="0"/>
                <w:sz w:val="24"/>
              </w:rPr>
            </w:pPr>
          </w:p>
        </w:tc>
        <w:tc>
          <w:tcPr>
            <w:tcW w:w="1880" w:type="pct"/>
          </w:tcPr>
          <w:p>
            <w:pPr>
              <w:rPr>
                <w:rFonts w:ascii="宋体" w:hAnsi="宋体"/>
                <w:sz w:val="24"/>
              </w:rPr>
            </w:pPr>
            <w:r>
              <w:rPr>
                <w:rFonts w:hint="eastAsia" w:ascii="宋体" w:hAnsi="宋体"/>
                <w:sz w:val="24"/>
              </w:rPr>
              <w:t>5.中标方将货物运输到甲方指定地点并安装调试。所有费用由中标方承担。</w:t>
            </w:r>
          </w:p>
        </w:tc>
        <w:tc>
          <w:tcPr>
            <w:tcW w:w="1607" w:type="dxa"/>
            <w:vAlign w:val="center"/>
          </w:tcPr>
          <w:p>
            <w:pPr>
              <w:jc w:val="center"/>
            </w:pPr>
            <w:r>
              <w:rPr>
                <w:rFonts w:hint="eastAsia" w:ascii="宋体" w:hAnsi="宋体" w:cs="宋体"/>
                <w:color w:val="000000"/>
                <w:kern w:val="0"/>
                <w:sz w:val="24"/>
              </w:rPr>
              <w:t>是</w:t>
            </w:r>
          </w:p>
        </w:tc>
        <w:tc>
          <w:tcPr>
            <w:tcW w:w="1662" w:type="pct"/>
            <w:vAlign w:val="center"/>
          </w:tcPr>
          <w:p>
            <w:pPr>
              <w:widowControl/>
              <w:jc w:val="center"/>
              <w:rPr>
                <w:rFonts w:ascii="宋体" w:hAnsi="宋体"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Merge w:val="continue"/>
            <w:vAlign w:val="center"/>
          </w:tcPr>
          <w:p>
            <w:pPr>
              <w:widowControl/>
              <w:jc w:val="center"/>
              <w:rPr>
                <w:rFonts w:ascii="宋体" w:hAnsi="宋体" w:cs="宋体"/>
                <w:color w:val="000000"/>
                <w:kern w:val="0"/>
                <w:sz w:val="24"/>
              </w:rPr>
            </w:pPr>
          </w:p>
        </w:tc>
        <w:tc>
          <w:tcPr>
            <w:tcW w:w="538" w:type="pct"/>
            <w:vMerge w:val="continue"/>
            <w:vAlign w:val="center"/>
          </w:tcPr>
          <w:p>
            <w:pPr>
              <w:widowControl/>
              <w:jc w:val="center"/>
              <w:rPr>
                <w:rFonts w:ascii="宋体" w:hAnsi="宋体" w:cs="宋体"/>
                <w:kern w:val="0"/>
                <w:sz w:val="24"/>
              </w:rPr>
            </w:pPr>
          </w:p>
        </w:tc>
        <w:tc>
          <w:tcPr>
            <w:tcW w:w="1880" w:type="pct"/>
          </w:tcPr>
          <w:p>
            <w:pPr>
              <w:rPr>
                <w:rFonts w:ascii="宋体" w:hAnsi="宋体"/>
                <w:sz w:val="24"/>
              </w:rPr>
            </w:pPr>
            <w:r>
              <w:rPr>
                <w:rFonts w:hint="eastAsia" w:ascii="宋体" w:hAnsi="宋体"/>
                <w:sz w:val="24"/>
              </w:rPr>
              <w:t>6.本项目实施进度及供货安排，乙方需听从甲方安排。在无甲方明确表示项目实施或部分实施前，乙方不得擅自备货、供货或为项目实施进行前提投入。</w:t>
            </w:r>
          </w:p>
        </w:tc>
        <w:tc>
          <w:tcPr>
            <w:tcW w:w="1607" w:type="dxa"/>
            <w:vAlign w:val="center"/>
          </w:tcPr>
          <w:p>
            <w:pPr>
              <w:jc w:val="center"/>
            </w:pPr>
            <w:r>
              <w:rPr>
                <w:rFonts w:hint="eastAsia" w:ascii="宋体" w:hAnsi="宋体" w:cs="宋体"/>
                <w:color w:val="000000"/>
                <w:kern w:val="0"/>
                <w:sz w:val="24"/>
              </w:rPr>
              <w:t>是</w:t>
            </w:r>
          </w:p>
        </w:tc>
        <w:tc>
          <w:tcPr>
            <w:tcW w:w="1662" w:type="pct"/>
            <w:vAlign w:val="center"/>
          </w:tcPr>
          <w:p>
            <w:pPr>
              <w:widowControl/>
              <w:jc w:val="center"/>
              <w:rPr>
                <w:rFonts w:ascii="宋体" w:hAnsi="宋体"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538" w:type="pct"/>
            <w:vAlign w:val="center"/>
          </w:tcPr>
          <w:p>
            <w:pPr>
              <w:jc w:val="center"/>
              <w:rPr>
                <w:rFonts w:ascii="宋体" w:hAnsi="宋体" w:cs="宋体"/>
                <w:kern w:val="0"/>
                <w:sz w:val="24"/>
              </w:rPr>
            </w:pPr>
            <w:r>
              <w:rPr>
                <w:rFonts w:hint="eastAsia" w:ascii="宋体" w:hAnsi="宋体"/>
                <w:sz w:val="24"/>
              </w:rPr>
              <w:t>交货期</w:t>
            </w:r>
          </w:p>
        </w:tc>
        <w:tc>
          <w:tcPr>
            <w:tcW w:w="1880" w:type="pct"/>
            <w:vAlign w:val="center"/>
          </w:tcPr>
          <w:p>
            <w:pPr>
              <w:jc w:val="left"/>
              <w:rPr>
                <w:rFonts w:ascii="宋体" w:hAnsi="宋体"/>
                <w:sz w:val="24"/>
              </w:rPr>
            </w:pPr>
            <w:r>
              <w:rPr>
                <w:rFonts w:hint="eastAsia" w:ascii="宋体" w:hAnsi="宋体"/>
                <w:sz w:val="24"/>
              </w:rPr>
              <w:t>货到：签订合同之日起30个工作日内（特殊情况以合同为准）。</w:t>
            </w:r>
          </w:p>
          <w:p>
            <w:pPr>
              <w:jc w:val="left"/>
              <w:rPr>
                <w:rFonts w:ascii="宋体" w:hAnsi="宋体" w:cs="宋体"/>
                <w:kern w:val="0"/>
                <w:sz w:val="24"/>
              </w:rPr>
            </w:pPr>
            <w:r>
              <w:rPr>
                <w:rFonts w:hint="eastAsia" w:ascii="宋体" w:hAnsi="宋体"/>
                <w:sz w:val="24"/>
              </w:rPr>
              <w:t>安装（施工）完成：货到之日起45个工作日内（特殊情况以合同为准）。</w:t>
            </w:r>
          </w:p>
        </w:tc>
        <w:tc>
          <w:tcPr>
            <w:tcW w:w="1607" w:type="dxa"/>
            <w:vAlign w:val="center"/>
          </w:tcPr>
          <w:p>
            <w:pPr>
              <w:jc w:val="center"/>
            </w:pPr>
            <w:r>
              <w:rPr>
                <w:rFonts w:hint="eastAsia" w:ascii="宋体" w:hAnsi="宋体" w:cs="宋体"/>
                <w:color w:val="000000"/>
                <w:kern w:val="0"/>
                <w:sz w:val="24"/>
              </w:rPr>
              <w:t>是</w:t>
            </w:r>
          </w:p>
        </w:tc>
        <w:tc>
          <w:tcPr>
            <w:tcW w:w="1662" w:type="pct"/>
            <w:vAlign w:val="center"/>
          </w:tcPr>
          <w:p>
            <w:pPr>
              <w:widowControl/>
              <w:jc w:val="center"/>
              <w:rPr>
                <w:rFonts w:ascii="宋体" w:hAnsi="宋体"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538" w:type="pct"/>
            <w:vAlign w:val="center"/>
          </w:tcPr>
          <w:p>
            <w:pPr>
              <w:widowControl/>
              <w:jc w:val="center"/>
              <w:rPr>
                <w:rFonts w:ascii="宋体" w:hAnsi="宋体" w:cs="宋体"/>
                <w:color w:val="000000"/>
                <w:kern w:val="0"/>
                <w:sz w:val="24"/>
              </w:rPr>
            </w:pPr>
            <w:r>
              <w:rPr>
                <w:rFonts w:hint="eastAsia" w:ascii="宋体" w:hAnsi="宋体" w:cs="宋体"/>
                <w:color w:val="000000"/>
                <w:kern w:val="0"/>
                <w:sz w:val="24"/>
              </w:rPr>
              <w:t>验收标准</w:t>
            </w:r>
          </w:p>
        </w:tc>
        <w:tc>
          <w:tcPr>
            <w:tcW w:w="1880" w:type="pct"/>
            <w:vAlign w:val="center"/>
          </w:tcPr>
          <w:p>
            <w:pPr>
              <w:jc w:val="left"/>
              <w:rPr>
                <w:rFonts w:hint="eastAsia" w:ascii="宋体" w:hAnsi="宋体" w:eastAsia="宋体" w:cs="Times New Roman"/>
                <w:sz w:val="24"/>
              </w:rPr>
            </w:pPr>
            <w:r>
              <w:rPr>
                <w:rFonts w:hint="eastAsia" w:ascii="宋体" w:hAnsi="宋体" w:eastAsia="宋体" w:cs="Times New Roman"/>
                <w:sz w:val="24"/>
              </w:rPr>
              <w:t>逐条参数验收；采购人有权委托第三方检验机构进行检验，特殊情况以合同为准。</w:t>
            </w:r>
          </w:p>
        </w:tc>
        <w:tc>
          <w:tcPr>
            <w:tcW w:w="1607" w:type="dxa"/>
            <w:vAlign w:val="center"/>
          </w:tcPr>
          <w:p>
            <w:pPr>
              <w:jc w:val="center"/>
            </w:pPr>
            <w:r>
              <w:rPr>
                <w:rFonts w:hint="eastAsia" w:ascii="宋体" w:hAnsi="宋体" w:cs="宋体"/>
                <w:color w:val="000000"/>
                <w:kern w:val="0"/>
                <w:sz w:val="24"/>
              </w:rPr>
              <w:t>是</w:t>
            </w:r>
          </w:p>
        </w:tc>
        <w:tc>
          <w:tcPr>
            <w:tcW w:w="1662" w:type="pct"/>
            <w:vAlign w:val="center"/>
          </w:tcPr>
          <w:p>
            <w:pPr>
              <w:widowControl/>
              <w:jc w:val="center"/>
              <w:rPr>
                <w:rFonts w:ascii="宋体" w:hAnsi="宋体"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319" w:type="pct"/>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c>
          <w:tcPr>
            <w:tcW w:w="538" w:type="pct"/>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培训</w:t>
            </w:r>
          </w:p>
        </w:tc>
        <w:tc>
          <w:tcPr>
            <w:tcW w:w="1880" w:type="pct"/>
            <w:vAlign w:val="center"/>
          </w:tcPr>
          <w:p>
            <w:pPr>
              <w:jc w:val="left"/>
              <w:rPr>
                <w:rFonts w:hint="eastAsia" w:ascii="宋体" w:hAnsi="宋体" w:eastAsia="宋体" w:cs="Times New Roman"/>
                <w:sz w:val="24"/>
                <w:lang w:val="en-US" w:eastAsia="zh-CN"/>
              </w:rPr>
            </w:pPr>
            <w:r>
              <w:rPr>
                <w:rFonts w:hint="eastAsia" w:ascii="宋体" w:hAnsi="宋体" w:eastAsia="宋体" w:cs="Times New Roman"/>
                <w:sz w:val="24"/>
              </w:rPr>
              <w:t>中标方需免费提供产品技术培训，总时长不少于</w:t>
            </w:r>
            <w:r>
              <w:rPr>
                <w:rFonts w:hint="eastAsia" w:ascii="宋体" w:hAnsi="宋体" w:eastAsia="宋体" w:cs="Times New Roman"/>
                <w:sz w:val="24"/>
                <w:lang w:val="en-US" w:eastAsia="zh-CN"/>
              </w:rPr>
              <w:t>3</w:t>
            </w:r>
            <w:r>
              <w:rPr>
                <w:rFonts w:hint="eastAsia" w:ascii="宋体" w:hAnsi="宋体" w:eastAsia="宋体" w:cs="Times New Roman"/>
                <w:sz w:val="24"/>
              </w:rPr>
              <w:t>2</w:t>
            </w:r>
            <w:r>
              <w:rPr>
                <w:rFonts w:hint="eastAsia" w:ascii="宋体" w:hAnsi="宋体" w:eastAsia="宋体" w:cs="Times New Roman"/>
                <w:sz w:val="24"/>
                <w:lang w:val="en-US" w:eastAsia="zh-CN"/>
              </w:rPr>
              <w:t>学时</w:t>
            </w:r>
            <w:r>
              <w:rPr>
                <w:rFonts w:hint="eastAsia" w:ascii="宋体" w:hAnsi="宋体" w:eastAsia="宋体" w:cs="Times New Roman"/>
                <w:sz w:val="24"/>
              </w:rPr>
              <w:t>。</w:t>
            </w:r>
          </w:p>
        </w:tc>
        <w:tc>
          <w:tcPr>
            <w:tcW w:w="1607" w:type="dxa"/>
            <w:vAlign w:val="center"/>
          </w:tcPr>
          <w:p>
            <w:pPr>
              <w:jc w:val="center"/>
              <w:rPr>
                <w:rFonts w:hint="eastAsia" w:ascii="宋体" w:hAnsi="宋体" w:cs="宋体"/>
                <w:color w:val="000000"/>
                <w:kern w:val="0"/>
                <w:sz w:val="24"/>
              </w:rPr>
            </w:pPr>
            <w:r>
              <w:rPr>
                <w:rFonts w:hint="eastAsia" w:ascii="宋体" w:hAnsi="宋体" w:cs="宋体"/>
                <w:color w:val="000000"/>
                <w:kern w:val="0"/>
                <w:sz w:val="24"/>
              </w:rPr>
              <w:t>是</w:t>
            </w:r>
          </w:p>
        </w:tc>
        <w:tc>
          <w:tcPr>
            <w:tcW w:w="1662" w:type="pct"/>
            <w:vAlign w:val="center"/>
          </w:tcPr>
          <w:p>
            <w:pPr>
              <w:widowControl/>
              <w:jc w:val="center"/>
              <w:rPr>
                <w:rFonts w:ascii="宋体" w:hAnsi="宋体" w:cs="宋体"/>
                <w:color w:val="000000"/>
                <w:kern w:val="0"/>
                <w:sz w:val="24"/>
              </w:rPr>
            </w:pPr>
          </w:p>
        </w:tc>
      </w:tr>
    </w:tbl>
    <w:p>
      <w:pPr>
        <w:spacing w:line="360" w:lineRule="auto"/>
        <w:rPr>
          <w:rFonts w:ascii="宋体" w:hAnsi="宋体"/>
          <w:sz w:val="24"/>
        </w:rPr>
      </w:pPr>
      <w:r>
        <w:rPr>
          <w:rFonts w:hint="eastAsia" w:ascii="宋体" w:hAnsi="宋体"/>
          <w:sz w:val="24"/>
        </w:rPr>
        <w:t>三、技术需求</w:t>
      </w:r>
    </w:p>
    <w:p>
      <w:pPr>
        <w:spacing w:line="360" w:lineRule="auto"/>
        <w:ind w:firstLine="720" w:firstLineChars="300"/>
        <w:rPr>
          <w:rFonts w:ascii="宋体" w:hAnsi="宋体"/>
          <w:color w:val="000000"/>
          <w:sz w:val="24"/>
        </w:rPr>
      </w:pPr>
      <w:r>
        <w:rPr>
          <w:rFonts w:hint="eastAsia" w:ascii="宋体" w:hAnsi="宋体"/>
          <w:color w:val="000000"/>
          <w:sz w:val="24"/>
        </w:rPr>
        <w:t>填写说明：</w:t>
      </w:r>
    </w:p>
    <w:p>
      <w:pPr>
        <w:spacing w:line="360" w:lineRule="auto"/>
        <w:ind w:firstLine="720" w:firstLineChars="300"/>
        <w:rPr>
          <w:rFonts w:ascii="宋体" w:hAnsi="宋体"/>
          <w:sz w:val="24"/>
        </w:rPr>
      </w:pPr>
      <w:r>
        <w:rPr>
          <w:rFonts w:hint="eastAsia" w:ascii="宋体" w:hAnsi="宋体"/>
          <w:sz w:val="24"/>
        </w:rPr>
        <w:t>（一）实质性技术条款（加注“★”号条款）不得出现负偏离，发生负偏离即做无效标处理。</w:t>
      </w:r>
    </w:p>
    <w:p>
      <w:pPr>
        <w:spacing w:line="360" w:lineRule="auto"/>
        <w:ind w:firstLine="720" w:firstLineChars="300"/>
        <w:rPr>
          <w:rFonts w:ascii="宋体" w:hAnsi="宋体"/>
          <w:sz w:val="24"/>
        </w:rPr>
      </w:pPr>
      <w:r>
        <w:rPr>
          <w:rFonts w:hint="eastAsia" w:ascii="宋体" w:hAnsi="宋体"/>
          <w:sz w:val="24"/>
        </w:rPr>
        <w:t>（二）如果需要以附件形式表示，可写“见附件”，同时将附件按顺序附后。</w:t>
      </w:r>
    </w:p>
    <w:p>
      <w:pPr>
        <w:spacing w:line="360" w:lineRule="auto"/>
        <w:ind w:firstLine="720" w:firstLineChars="300"/>
        <w:rPr>
          <w:rFonts w:ascii="宋体" w:hAnsi="宋体"/>
          <w:sz w:val="24"/>
        </w:rPr>
      </w:pPr>
      <w:r>
        <w:rPr>
          <w:rFonts w:hint="eastAsia" w:ascii="宋体" w:hAnsi="宋体"/>
          <w:sz w:val="24"/>
        </w:rPr>
        <w:t>（三）★号条款（实质性技术条款）需要填写原因说明。</w:t>
      </w:r>
    </w:p>
    <w:p>
      <w:pPr>
        <w:spacing w:line="360" w:lineRule="auto"/>
        <w:ind w:firstLine="720" w:firstLineChars="300"/>
        <w:rPr>
          <w:rFonts w:ascii="宋体" w:hAnsi="宋体"/>
          <w:sz w:val="24"/>
        </w:rPr>
      </w:pPr>
      <w:r>
        <w:rPr>
          <w:rFonts w:hint="eastAsia" w:ascii="宋体" w:hAnsi="宋体"/>
          <w:sz w:val="24"/>
        </w:rPr>
        <w:t>（四）如无★号条款（实质性技术条款）可不填写。</w:t>
      </w:r>
    </w:p>
    <w:p>
      <w:pPr>
        <w:spacing w:line="360" w:lineRule="auto"/>
        <w:ind w:firstLine="720" w:firstLineChars="300"/>
        <w:rPr>
          <w:rFonts w:hint="eastAsia" w:ascii="宋体" w:hAnsi="宋体"/>
          <w:sz w:val="24"/>
        </w:rPr>
      </w:pPr>
      <w:r>
        <w:rPr>
          <w:rFonts w:hint="eastAsia" w:ascii="宋体" w:hAnsi="宋体"/>
          <w:sz w:val="24"/>
        </w:rPr>
        <w:t>（五）请填写验收标准。</w:t>
      </w:r>
    </w:p>
    <w:p>
      <w:pPr>
        <w:spacing w:line="360" w:lineRule="auto"/>
        <w:ind w:firstLine="720" w:firstLineChars="300"/>
        <w:rPr>
          <w:rFonts w:hint="eastAsia" w:ascii="宋体" w:hAnsi="宋体"/>
          <w:sz w:val="24"/>
        </w:rPr>
      </w:pPr>
    </w:p>
    <w:tbl>
      <w:tblPr>
        <w:tblStyle w:val="7"/>
        <w:tblW w:w="45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28"/>
        <w:gridCol w:w="7464"/>
        <w:gridCol w:w="483"/>
        <w:gridCol w:w="494"/>
        <w:gridCol w:w="1031"/>
        <w:gridCol w:w="1208"/>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序号</w:t>
            </w:r>
          </w:p>
        </w:tc>
        <w:tc>
          <w:tcPr>
            <w:tcW w:w="2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货物名称</w:t>
            </w:r>
          </w:p>
        </w:tc>
        <w:tc>
          <w:tcPr>
            <w:tcW w:w="287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技术要求</w:t>
            </w:r>
          </w:p>
        </w:tc>
        <w:tc>
          <w:tcPr>
            <w:tcW w:w="1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单位</w:t>
            </w:r>
          </w:p>
        </w:tc>
        <w:tc>
          <w:tcPr>
            <w:tcW w:w="1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数量</w:t>
            </w:r>
          </w:p>
        </w:tc>
        <w:tc>
          <w:tcPr>
            <w:tcW w:w="3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22"/>
                <w:szCs w:val="22"/>
              </w:rPr>
            </w:pPr>
            <w:r>
              <w:rPr>
                <w:rFonts w:hint="eastAsia" w:ascii="宋体" w:hAnsi="宋体"/>
                <w:color w:val="000000"/>
                <w:sz w:val="22"/>
                <w:szCs w:val="22"/>
              </w:rPr>
              <w:t>单位预算（万元）</w:t>
            </w:r>
          </w:p>
        </w:tc>
        <w:tc>
          <w:tcPr>
            <w:tcW w:w="46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是否属于现行节能产品政府采购清单强制采购范围</w:t>
            </w:r>
          </w:p>
        </w:tc>
        <w:tc>
          <w:tcPr>
            <w:tcW w:w="47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实质性技术条款原因说明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1</w:t>
            </w:r>
          </w:p>
        </w:tc>
        <w:tc>
          <w:tcPr>
            <w:tcW w:w="2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智能变电站虚拟仿真系统</w:t>
            </w:r>
          </w:p>
        </w:tc>
        <w:tc>
          <w:tcPr>
            <w:tcW w:w="2873"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2"/>
                <w:szCs w:val="22"/>
              </w:rPr>
            </w:pPr>
            <w:r>
              <w:rPr>
                <w:rFonts w:hint="eastAsia" w:ascii="宋体" w:hAnsi="宋体"/>
                <w:color w:val="000000"/>
                <w:sz w:val="22"/>
                <w:szCs w:val="22"/>
              </w:rPr>
              <w:t>智能变电站虚拟仿真系统包括：智能变电站仿真系统支撑平台、智能变电站电网仿真系统、智能变电站仿真系统、智能变电站仿真培训管理系统。应实现电网、智能变电站生产运行过程的全仿真，应正确反映智能变电站、电网的相互作用、相互影响。</w:t>
            </w:r>
          </w:p>
          <w:p>
            <w:pPr>
              <w:widowControl/>
              <w:jc w:val="left"/>
              <w:rPr>
                <w:rFonts w:ascii="宋体" w:hAnsi="宋体"/>
                <w:color w:val="000000"/>
                <w:sz w:val="22"/>
                <w:szCs w:val="22"/>
              </w:rPr>
            </w:pPr>
            <w:r>
              <w:rPr>
                <w:rFonts w:hint="eastAsia" w:ascii="宋体" w:hAnsi="宋体"/>
                <w:color w:val="000000"/>
                <w:sz w:val="22"/>
                <w:szCs w:val="22"/>
              </w:rPr>
              <w:t>一、智能变电站仿真系统支撑平台</w:t>
            </w:r>
          </w:p>
          <w:p>
            <w:pPr>
              <w:widowControl/>
              <w:jc w:val="left"/>
              <w:rPr>
                <w:rFonts w:ascii="宋体" w:hAnsi="宋体"/>
                <w:color w:val="000000"/>
                <w:sz w:val="22"/>
                <w:szCs w:val="22"/>
              </w:rPr>
            </w:pPr>
            <w:r>
              <w:rPr>
                <w:rFonts w:hint="eastAsia" w:ascii="宋体" w:hAnsi="宋体"/>
                <w:color w:val="000000"/>
                <w:sz w:val="22"/>
                <w:szCs w:val="22"/>
              </w:rPr>
              <w:t>1.应是基于高层体系的分布式、交互式仿真支撑平台</w:t>
            </w:r>
          </w:p>
          <w:p>
            <w:pPr>
              <w:widowControl/>
              <w:jc w:val="left"/>
              <w:rPr>
                <w:rFonts w:ascii="宋体" w:hAnsi="宋体"/>
                <w:color w:val="000000"/>
                <w:sz w:val="22"/>
                <w:szCs w:val="22"/>
              </w:rPr>
            </w:pPr>
            <w:r>
              <w:rPr>
                <w:rFonts w:hint="eastAsia" w:ascii="宋体" w:hAnsi="宋体"/>
                <w:color w:val="000000"/>
                <w:sz w:val="22"/>
                <w:szCs w:val="22"/>
              </w:rPr>
              <w:t>2.规范标准：应符合IEEE1516标准和IEC61970标准；</w:t>
            </w:r>
          </w:p>
          <w:p>
            <w:pPr>
              <w:widowControl/>
              <w:jc w:val="left"/>
              <w:rPr>
                <w:rFonts w:ascii="宋体" w:hAnsi="宋体"/>
                <w:color w:val="000000"/>
                <w:sz w:val="22"/>
                <w:szCs w:val="22"/>
              </w:rPr>
            </w:pPr>
            <w:r>
              <w:rPr>
                <w:rFonts w:hint="eastAsia" w:ascii="宋体" w:hAnsi="宋体"/>
                <w:color w:val="000000"/>
                <w:sz w:val="22"/>
                <w:szCs w:val="22"/>
              </w:rPr>
              <w:t>3.应包含系统：数据库系统、仿真运行管理系统、人机界面系统；</w:t>
            </w:r>
          </w:p>
          <w:p>
            <w:pPr>
              <w:widowControl/>
              <w:jc w:val="left"/>
              <w:rPr>
                <w:rFonts w:ascii="宋体" w:hAnsi="宋体"/>
                <w:color w:val="000000"/>
                <w:sz w:val="22"/>
                <w:szCs w:val="22"/>
              </w:rPr>
            </w:pPr>
            <w:r>
              <w:rPr>
                <w:rFonts w:hint="eastAsia" w:ascii="宋体" w:hAnsi="宋体"/>
                <w:color w:val="000000"/>
                <w:sz w:val="22"/>
                <w:szCs w:val="22"/>
              </w:rPr>
              <w:t>（1）数据库系统：应完成电网模型的建立和管理；</w:t>
            </w:r>
          </w:p>
          <w:p>
            <w:pPr>
              <w:widowControl/>
              <w:jc w:val="left"/>
              <w:rPr>
                <w:rFonts w:ascii="宋体" w:hAnsi="宋体"/>
                <w:color w:val="000000"/>
                <w:sz w:val="22"/>
                <w:szCs w:val="22"/>
              </w:rPr>
            </w:pPr>
            <w:r>
              <w:rPr>
                <w:rFonts w:hint="eastAsia" w:ascii="宋体" w:hAnsi="宋体"/>
                <w:color w:val="000000"/>
                <w:sz w:val="22"/>
                <w:szCs w:val="22"/>
              </w:rPr>
              <w:t>（2）仿真运行管理系统：应解决仿真系统应用之间互操作性、分布性、异构性、时空一致性和开放性问题，支持仿真系统的运行；</w:t>
            </w:r>
          </w:p>
          <w:p>
            <w:pPr>
              <w:widowControl/>
              <w:jc w:val="left"/>
              <w:rPr>
                <w:rFonts w:ascii="宋体" w:hAnsi="宋体"/>
                <w:color w:val="000000"/>
                <w:sz w:val="22"/>
                <w:szCs w:val="22"/>
              </w:rPr>
            </w:pPr>
            <w:r>
              <w:rPr>
                <w:rFonts w:hint="eastAsia" w:ascii="宋体" w:hAnsi="宋体"/>
                <w:color w:val="000000"/>
                <w:sz w:val="22"/>
                <w:szCs w:val="22"/>
              </w:rPr>
              <w:t>（3）人机界面系统：支持管理显示画面图形组态；</w:t>
            </w:r>
          </w:p>
          <w:p>
            <w:pPr>
              <w:widowControl/>
              <w:jc w:val="left"/>
              <w:rPr>
                <w:rFonts w:ascii="宋体" w:hAnsi="宋体"/>
                <w:color w:val="000000"/>
                <w:sz w:val="22"/>
                <w:szCs w:val="22"/>
              </w:rPr>
            </w:pPr>
            <w:r>
              <w:rPr>
                <w:rFonts w:hint="eastAsia" w:ascii="宋体" w:hAnsi="宋体"/>
                <w:color w:val="000000"/>
                <w:sz w:val="22"/>
                <w:szCs w:val="22"/>
              </w:rPr>
              <w:t>二、智能变电站电网仿真系统</w:t>
            </w:r>
          </w:p>
          <w:p>
            <w:pPr>
              <w:widowControl/>
              <w:jc w:val="left"/>
              <w:rPr>
                <w:rFonts w:ascii="宋体" w:hAnsi="宋体"/>
                <w:color w:val="000000"/>
                <w:sz w:val="22"/>
                <w:szCs w:val="22"/>
              </w:rPr>
            </w:pPr>
            <w:r>
              <w:rPr>
                <w:rFonts w:hint="eastAsia" w:ascii="宋体" w:hAnsi="宋体"/>
                <w:color w:val="000000"/>
                <w:sz w:val="22"/>
                <w:szCs w:val="22"/>
              </w:rPr>
              <w:t>1.仿真变电站及周边电网，设计典型区域，构建模拟正确的电网与变电站之间相互作用和相互影响的电力网络；</w:t>
            </w:r>
          </w:p>
          <w:p>
            <w:pPr>
              <w:widowControl/>
              <w:jc w:val="left"/>
              <w:rPr>
                <w:rFonts w:ascii="宋体" w:hAnsi="宋体"/>
                <w:color w:val="000000"/>
                <w:sz w:val="22"/>
                <w:szCs w:val="22"/>
              </w:rPr>
            </w:pPr>
            <w:r>
              <w:rPr>
                <w:rFonts w:hint="eastAsia" w:ascii="宋体" w:hAnsi="宋体"/>
                <w:color w:val="000000"/>
                <w:sz w:val="22"/>
                <w:szCs w:val="22"/>
              </w:rPr>
              <w:t>2.仿真电力系统的静态和动态过程，提供与实际电网一致的设备模型；</w:t>
            </w:r>
          </w:p>
          <w:p>
            <w:pPr>
              <w:widowControl/>
              <w:jc w:val="left"/>
              <w:rPr>
                <w:rFonts w:ascii="宋体" w:hAnsi="宋体"/>
                <w:color w:val="000000"/>
                <w:sz w:val="22"/>
                <w:szCs w:val="22"/>
              </w:rPr>
            </w:pPr>
            <w:r>
              <w:rPr>
                <w:rFonts w:hint="eastAsia" w:ascii="宋体" w:hAnsi="宋体"/>
                <w:color w:val="000000"/>
                <w:sz w:val="22"/>
                <w:szCs w:val="22"/>
              </w:rPr>
              <w:t>3.电力系统模型应包括：发电机、线路、变压器、电抗/电容器、母线、开关、刀闸、负荷、继电保护装置、安全自动装置、数据采集系统等；</w:t>
            </w:r>
          </w:p>
          <w:p>
            <w:pPr>
              <w:widowControl/>
              <w:jc w:val="left"/>
              <w:rPr>
                <w:rFonts w:ascii="宋体" w:hAnsi="宋体"/>
                <w:color w:val="000000"/>
                <w:sz w:val="22"/>
                <w:szCs w:val="22"/>
              </w:rPr>
            </w:pPr>
            <w:r>
              <w:rPr>
                <w:rFonts w:hint="eastAsia" w:ascii="宋体" w:hAnsi="宋体"/>
                <w:color w:val="000000"/>
                <w:sz w:val="22"/>
                <w:szCs w:val="22"/>
              </w:rPr>
              <w:t>4.电网仿真应包括：电网拓扑、正常及故障潮流计算、负荷及出力调整等；</w:t>
            </w:r>
          </w:p>
          <w:p>
            <w:pPr>
              <w:widowControl/>
              <w:jc w:val="left"/>
              <w:rPr>
                <w:rFonts w:ascii="宋体" w:hAnsi="宋体"/>
                <w:color w:val="000000"/>
                <w:sz w:val="22"/>
                <w:szCs w:val="22"/>
              </w:rPr>
            </w:pPr>
            <w:r>
              <w:rPr>
                <w:rFonts w:hint="eastAsia" w:ascii="宋体" w:hAnsi="宋体"/>
                <w:color w:val="000000"/>
                <w:sz w:val="22"/>
                <w:szCs w:val="22"/>
              </w:rPr>
              <w:t>5.支持通过电力系统模拟计算程序正确地模拟电网正常、异常、故障状态下的运行情况，应实现电网各种正常运行方式、典型事故以及电网调度功能仿真；</w:t>
            </w:r>
          </w:p>
          <w:p>
            <w:pPr>
              <w:widowControl/>
              <w:jc w:val="left"/>
              <w:rPr>
                <w:rFonts w:ascii="宋体" w:hAnsi="宋体"/>
                <w:color w:val="000000"/>
                <w:sz w:val="22"/>
                <w:szCs w:val="22"/>
              </w:rPr>
            </w:pPr>
            <w:r>
              <w:rPr>
                <w:rFonts w:hint="eastAsia" w:ascii="宋体" w:hAnsi="宋体"/>
                <w:color w:val="000000"/>
                <w:sz w:val="22"/>
                <w:szCs w:val="22"/>
              </w:rPr>
              <w:t>三、智能变电站仿真系统</w:t>
            </w:r>
          </w:p>
          <w:p>
            <w:pPr>
              <w:widowControl/>
              <w:jc w:val="left"/>
              <w:rPr>
                <w:rFonts w:ascii="宋体" w:hAnsi="宋体"/>
                <w:color w:val="000000"/>
                <w:sz w:val="22"/>
                <w:szCs w:val="22"/>
              </w:rPr>
            </w:pPr>
            <w:r>
              <w:rPr>
                <w:rFonts w:hint="eastAsia" w:ascii="宋体" w:hAnsi="宋体"/>
                <w:color w:val="000000"/>
                <w:sz w:val="22"/>
                <w:szCs w:val="22"/>
              </w:rPr>
              <w:t>1.应以220kV典型智能变电站作为原型，对智能变电站一次设备、二次设备及监控系统全范围进行建模仿真；</w:t>
            </w:r>
          </w:p>
          <w:p>
            <w:pPr>
              <w:widowControl/>
              <w:jc w:val="left"/>
              <w:rPr>
                <w:rFonts w:ascii="宋体" w:hAnsi="宋体"/>
                <w:color w:val="000000"/>
                <w:sz w:val="22"/>
                <w:szCs w:val="22"/>
              </w:rPr>
            </w:pPr>
            <w:r>
              <w:rPr>
                <w:rFonts w:hint="eastAsia" w:ascii="宋体" w:hAnsi="宋体"/>
                <w:color w:val="000000"/>
                <w:sz w:val="22"/>
                <w:szCs w:val="22"/>
              </w:rPr>
              <w:t>2.仿真应包括智能变电站的智能一次设备、互感器、过程层的合并单元/智能操作箱、间隔层的保护/测控/自动化装置、站用一体化电源、GOOSE链路网络、SV采样网络、监控系统等详细模型，并应涵盖智能变电站仿真详细模型对电网仿真抽象模型的影响；</w:t>
            </w:r>
          </w:p>
          <w:p>
            <w:pPr>
              <w:widowControl/>
              <w:jc w:val="left"/>
              <w:rPr>
                <w:rFonts w:ascii="宋体" w:hAnsi="宋体"/>
                <w:color w:val="000000"/>
                <w:sz w:val="22"/>
                <w:szCs w:val="22"/>
              </w:rPr>
            </w:pPr>
            <w:r>
              <w:rPr>
                <w:rFonts w:hint="eastAsia" w:ascii="宋体" w:hAnsi="宋体"/>
                <w:color w:val="000000"/>
                <w:sz w:val="22"/>
                <w:szCs w:val="22"/>
              </w:rPr>
              <w:t>3.系统应具备：</w:t>
            </w:r>
          </w:p>
          <w:p>
            <w:pPr>
              <w:widowControl/>
              <w:jc w:val="left"/>
              <w:rPr>
                <w:rFonts w:ascii="宋体" w:hAnsi="宋体"/>
                <w:color w:val="000000"/>
                <w:sz w:val="22"/>
                <w:szCs w:val="22"/>
              </w:rPr>
            </w:pPr>
            <w:r>
              <w:rPr>
                <w:rFonts w:hint="eastAsia" w:ascii="宋体" w:hAnsi="宋体"/>
                <w:color w:val="000000"/>
                <w:sz w:val="22"/>
                <w:szCs w:val="22"/>
              </w:rPr>
              <w:t>（1）支持教案开发、存储和发送功能，教案应涵盖触发策略；</w:t>
            </w:r>
          </w:p>
          <w:p>
            <w:pPr>
              <w:widowControl/>
              <w:jc w:val="left"/>
              <w:rPr>
                <w:rFonts w:ascii="宋体" w:hAnsi="宋体"/>
                <w:color w:val="000000"/>
                <w:sz w:val="22"/>
                <w:szCs w:val="22"/>
              </w:rPr>
            </w:pPr>
            <w:r>
              <w:rPr>
                <w:rFonts w:hint="eastAsia" w:ascii="宋体" w:hAnsi="宋体"/>
                <w:color w:val="000000"/>
                <w:sz w:val="22"/>
                <w:szCs w:val="22"/>
              </w:rPr>
              <w:t>（2）支持仿真工况开发、存储和发送功能，工况应涵盖电网出力、负荷、开关状态，涵盖保护装置功能投退、站用交直流状态、GOOSE网SV网状态；</w:t>
            </w:r>
          </w:p>
          <w:p>
            <w:pPr>
              <w:widowControl/>
              <w:jc w:val="left"/>
              <w:rPr>
                <w:rFonts w:ascii="宋体" w:hAnsi="宋体"/>
                <w:color w:val="000000"/>
                <w:sz w:val="22"/>
                <w:szCs w:val="22"/>
              </w:rPr>
            </w:pPr>
            <w:r>
              <w:rPr>
                <w:rFonts w:hint="eastAsia" w:ascii="宋体" w:hAnsi="宋体"/>
                <w:color w:val="000000"/>
                <w:sz w:val="22"/>
                <w:szCs w:val="22"/>
              </w:rPr>
              <w:t>（3）仿真GOOSE网SV网断链之后电力系统故障能够实现保护装置动作的过程；</w:t>
            </w:r>
          </w:p>
          <w:p>
            <w:pPr>
              <w:widowControl/>
              <w:jc w:val="left"/>
              <w:rPr>
                <w:rFonts w:ascii="宋体" w:hAnsi="宋体"/>
                <w:color w:val="000000"/>
                <w:sz w:val="22"/>
                <w:szCs w:val="22"/>
              </w:rPr>
            </w:pPr>
            <w:r>
              <w:rPr>
                <w:rFonts w:hint="eastAsia" w:ascii="宋体" w:hAnsi="宋体"/>
                <w:color w:val="000000"/>
                <w:sz w:val="22"/>
                <w:szCs w:val="22"/>
              </w:rPr>
              <w:t>4.智能变电站接线：220kV智能变电站仿真规模应为2台主变，主变压器应为三相三绕组油浸式变压器，调压方式应为有载调压，采用自然油循环自冷冷却方式；220kV主接线应采用双母双分段接线，配电装置应采用AIS设备(空气绝缘的常规配电装置)，110kV主接线应采用双母线接线，配电装置应采用GIS设备(气体绝缘金属封闭开关设备)；10kV主接线应为单母分段接线，应采用成套式高压开关柜；</w:t>
            </w:r>
          </w:p>
          <w:p>
            <w:pPr>
              <w:widowControl/>
              <w:jc w:val="left"/>
              <w:rPr>
                <w:rFonts w:ascii="宋体" w:hAnsi="宋体"/>
                <w:color w:val="000000"/>
                <w:sz w:val="22"/>
                <w:szCs w:val="22"/>
              </w:rPr>
            </w:pPr>
            <w:r>
              <w:rPr>
                <w:rFonts w:hint="eastAsia" w:ascii="宋体" w:hAnsi="宋体"/>
                <w:color w:val="000000"/>
                <w:sz w:val="22"/>
                <w:szCs w:val="22"/>
              </w:rPr>
              <w:t>5.智能变电站一次设备模型：智能变电站一次设备模型是智能变电站仿真的基础，模型越详细，仿真度越高，仿真结果越真实。各设备应按照基于设备原理组件化建模。</w:t>
            </w:r>
          </w:p>
          <w:p>
            <w:pPr>
              <w:widowControl/>
              <w:jc w:val="left"/>
              <w:rPr>
                <w:rFonts w:ascii="宋体" w:hAnsi="宋体"/>
                <w:color w:val="000000"/>
                <w:sz w:val="22"/>
                <w:szCs w:val="22"/>
              </w:rPr>
            </w:pPr>
            <w:r>
              <w:rPr>
                <w:rFonts w:hint="eastAsia" w:ascii="宋体" w:hAnsi="宋体"/>
                <w:color w:val="000000"/>
                <w:sz w:val="22"/>
                <w:szCs w:val="22"/>
              </w:rPr>
              <w:t>（1）SF6断路器仿真：应包括SF6压力、套管、套管与外接引线、分合闸指示、压力表、开关辅助箱</w:t>
            </w:r>
          </w:p>
          <w:p>
            <w:pPr>
              <w:widowControl/>
              <w:jc w:val="left"/>
              <w:rPr>
                <w:rFonts w:ascii="宋体" w:hAnsi="宋体"/>
                <w:color w:val="000000"/>
                <w:sz w:val="22"/>
                <w:szCs w:val="22"/>
              </w:rPr>
            </w:pPr>
            <w:r>
              <w:rPr>
                <w:rFonts w:hint="eastAsia" w:ascii="宋体" w:hAnsi="宋体"/>
                <w:color w:val="000000"/>
                <w:sz w:val="22"/>
                <w:szCs w:val="22"/>
              </w:rPr>
              <w:t>（2）SF6断路器仿真应实现功能：设置SF6压力低报警、SF6压力低闭锁及正常、设置套管闪络、设置套管与外接引线过热、设置分合闸指示异常、设置压力表的值、压力低闭锁合闸、压力低闭锁重合闸、压力低闭锁操作等；应可设置开关辅助箱中辅助触点不到位导致相应的现象；</w:t>
            </w:r>
          </w:p>
          <w:p>
            <w:pPr>
              <w:widowControl/>
              <w:jc w:val="left"/>
              <w:rPr>
                <w:rFonts w:ascii="宋体" w:hAnsi="宋体"/>
                <w:color w:val="000000"/>
                <w:sz w:val="22"/>
                <w:szCs w:val="22"/>
              </w:rPr>
            </w:pPr>
            <w:r>
              <w:rPr>
                <w:rFonts w:hint="eastAsia" w:ascii="宋体" w:hAnsi="宋体"/>
                <w:color w:val="000000"/>
                <w:sz w:val="22"/>
                <w:szCs w:val="22"/>
              </w:rPr>
              <w:t>6.智能变电站二次设备模型：继电保护和自动装置是变电仿真培训的重要内容，应依据设备原理建模</w:t>
            </w:r>
          </w:p>
          <w:p>
            <w:pPr>
              <w:widowControl/>
              <w:jc w:val="left"/>
              <w:rPr>
                <w:rFonts w:ascii="宋体" w:hAnsi="宋体"/>
                <w:color w:val="000000"/>
                <w:sz w:val="22"/>
                <w:szCs w:val="22"/>
              </w:rPr>
            </w:pPr>
            <w:r>
              <w:rPr>
                <w:rFonts w:hint="eastAsia" w:ascii="宋体" w:hAnsi="宋体"/>
                <w:color w:val="000000"/>
                <w:sz w:val="22"/>
                <w:szCs w:val="22"/>
              </w:rPr>
              <w:t>（1）保护及自动装置在建模时应包括：启动环节、时间环节、出口环节、复归环节；</w:t>
            </w:r>
          </w:p>
          <w:p>
            <w:pPr>
              <w:widowControl/>
              <w:jc w:val="left"/>
              <w:rPr>
                <w:rFonts w:ascii="宋体" w:hAnsi="宋体"/>
                <w:color w:val="000000"/>
                <w:sz w:val="22"/>
                <w:szCs w:val="22"/>
              </w:rPr>
            </w:pPr>
            <w:r>
              <w:rPr>
                <w:rFonts w:hint="eastAsia" w:ascii="宋体" w:hAnsi="宋体"/>
                <w:color w:val="000000"/>
                <w:sz w:val="22"/>
                <w:szCs w:val="22"/>
              </w:rPr>
              <w:t>（2）支持装置通信模块、直流电源等，应涵盖对装置的影响；</w:t>
            </w:r>
          </w:p>
          <w:p>
            <w:pPr>
              <w:widowControl/>
              <w:jc w:val="left"/>
              <w:rPr>
                <w:rFonts w:ascii="宋体" w:hAnsi="宋体"/>
                <w:color w:val="000000"/>
                <w:sz w:val="22"/>
                <w:szCs w:val="22"/>
              </w:rPr>
            </w:pPr>
            <w:r>
              <w:rPr>
                <w:rFonts w:hint="eastAsia" w:ascii="宋体" w:hAnsi="宋体"/>
                <w:color w:val="000000"/>
                <w:sz w:val="22"/>
                <w:szCs w:val="22"/>
              </w:rPr>
              <w:t>（3）应实现用户自定义保护和自动装置类型；</w:t>
            </w:r>
          </w:p>
          <w:p>
            <w:pPr>
              <w:widowControl/>
              <w:jc w:val="left"/>
              <w:rPr>
                <w:rFonts w:ascii="宋体" w:hAnsi="宋体"/>
                <w:color w:val="000000"/>
                <w:sz w:val="22"/>
                <w:szCs w:val="22"/>
              </w:rPr>
            </w:pPr>
            <w:r>
              <w:rPr>
                <w:rFonts w:hint="eastAsia" w:ascii="宋体" w:hAnsi="宋体"/>
                <w:color w:val="000000"/>
                <w:sz w:val="22"/>
                <w:szCs w:val="22"/>
              </w:rPr>
              <w:t>（4）支持配置保护和自动装置的启动条件、出口条件、出口时间、复归情况等；</w:t>
            </w:r>
          </w:p>
          <w:p>
            <w:pPr>
              <w:widowControl/>
              <w:jc w:val="left"/>
              <w:rPr>
                <w:rFonts w:ascii="宋体" w:hAnsi="宋体"/>
                <w:color w:val="000000"/>
                <w:sz w:val="22"/>
                <w:szCs w:val="22"/>
              </w:rPr>
            </w:pPr>
            <w:r>
              <w:rPr>
                <w:rFonts w:hint="eastAsia" w:ascii="宋体" w:hAnsi="宋体"/>
                <w:color w:val="000000"/>
                <w:sz w:val="22"/>
                <w:szCs w:val="22"/>
              </w:rPr>
              <w:t>（5）支持系统自动识别用户的配置情况，应实现用户所定义的保护及自动装置；</w:t>
            </w:r>
          </w:p>
          <w:p>
            <w:pPr>
              <w:widowControl/>
              <w:jc w:val="left"/>
              <w:rPr>
                <w:rFonts w:ascii="宋体" w:hAnsi="宋体"/>
                <w:color w:val="000000"/>
                <w:sz w:val="22"/>
                <w:szCs w:val="22"/>
              </w:rPr>
            </w:pPr>
            <w:r>
              <w:rPr>
                <w:rFonts w:hint="eastAsia" w:ascii="宋体" w:hAnsi="宋体"/>
                <w:color w:val="000000"/>
                <w:sz w:val="22"/>
                <w:szCs w:val="22"/>
              </w:rPr>
              <w:t>7.智能变电站网络数学模型：</w:t>
            </w:r>
          </w:p>
          <w:p>
            <w:pPr>
              <w:widowControl/>
              <w:jc w:val="left"/>
              <w:rPr>
                <w:rFonts w:ascii="宋体" w:hAnsi="宋体"/>
                <w:color w:val="000000"/>
                <w:sz w:val="22"/>
                <w:szCs w:val="22"/>
              </w:rPr>
            </w:pPr>
            <w:r>
              <w:rPr>
                <w:rFonts w:hint="eastAsia" w:ascii="宋体" w:hAnsi="宋体"/>
                <w:color w:val="000000"/>
                <w:sz w:val="22"/>
                <w:szCs w:val="22"/>
              </w:rPr>
              <w:t>（1）仿真GOOSE网络交换机和站控层网络交换机设备模型，应包括通信中断仿真等；</w:t>
            </w:r>
          </w:p>
          <w:p>
            <w:pPr>
              <w:widowControl/>
              <w:jc w:val="left"/>
              <w:rPr>
                <w:rFonts w:ascii="宋体" w:hAnsi="宋体"/>
                <w:color w:val="000000"/>
                <w:sz w:val="22"/>
                <w:szCs w:val="22"/>
              </w:rPr>
            </w:pPr>
            <w:r>
              <w:rPr>
                <w:rFonts w:hint="eastAsia" w:ascii="宋体" w:hAnsi="宋体"/>
                <w:color w:val="000000"/>
                <w:sz w:val="22"/>
                <w:szCs w:val="22"/>
              </w:rPr>
              <w:t>（2）仿真完整的GOOSE链路模型，应包括GOOSE链路异常仿真等；</w:t>
            </w:r>
          </w:p>
          <w:p>
            <w:pPr>
              <w:widowControl/>
              <w:jc w:val="left"/>
              <w:rPr>
                <w:rFonts w:ascii="宋体" w:hAnsi="宋体"/>
                <w:color w:val="000000"/>
                <w:sz w:val="22"/>
                <w:szCs w:val="22"/>
              </w:rPr>
            </w:pPr>
            <w:r>
              <w:rPr>
                <w:rFonts w:hint="eastAsia" w:ascii="宋体" w:hAnsi="宋体"/>
                <w:color w:val="000000"/>
                <w:sz w:val="22"/>
                <w:szCs w:val="22"/>
              </w:rPr>
              <w:t>（3）仿真完整的SV采样链路模型；</w:t>
            </w:r>
          </w:p>
          <w:p>
            <w:pPr>
              <w:widowControl/>
              <w:jc w:val="left"/>
              <w:rPr>
                <w:rFonts w:ascii="宋体" w:hAnsi="宋体"/>
                <w:color w:val="000000"/>
                <w:sz w:val="22"/>
                <w:szCs w:val="22"/>
              </w:rPr>
            </w:pPr>
            <w:r>
              <w:rPr>
                <w:rFonts w:hint="eastAsia" w:ascii="宋体" w:hAnsi="宋体"/>
                <w:color w:val="000000"/>
                <w:sz w:val="22"/>
                <w:szCs w:val="22"/>
              </w:rPr>
              <w:t>8.智能变电站辅助系统数学模型应包括：直流系统模型、站用电系统模型、量测系统模型；</w:t>
            </w:r>
          </w:p>
          <w:p>
            <w:pPr>
              <w:widowControl/>
              <w:jc w:val="left"/>
              <w:rPr>
                <w:rFonts w:ascii="宋体" w:hAnsi="宋体"/>
                <w:color w:val="000000"/>
                <w:sz w:val="22"/>
                <w:szCs w:val="22"/>
              </w:rPr>
            </w:pPr>
            <w:r>
              <w:rPr>
                <w:rFonts w:hint="eastAsia" w:ascii="宋体" w:hAnsi="宋体"/>
                <w:color w:val="000000"/>
                <w:sz w:val="22"/>
                <w:szCs w:val="22"/>
              </w:rPr>
              <w:t>9.智能变电站防误系统模型：应根据实际"五防"装置逻辑仿真"五防"微机防误闭锁，应由规则库实现防误闭锁逻辑；</w:t>
            </w:r>
          </w:p>
          <w:p>
            <w:pPr>
              <w:widowControl/>
              <w:jc w:val="left"/>
              <w:rPr>
                <w:rFonts w:ascii="宋体" w:hAnsi="宋体"/>
                <w:color w:val="000000"/>
                <w:sz w:val="22"/>
                <w:szCs w:val="22"/>
              </w:rPr>
            </w:pPr>
            <w:r>
              <w:rPr>
                <w:rFonts w:hint="eastAsia" w:ascii="宋体" w:hAnsi="宋体"/>
                <w:color w:val="000000"/>
                <w:sz w:val="22"/>
                <w:szCs w:val="22"/>
              </w:rPr>
              <w:t>10.智能变电站监控系统模型：</w:t>
            </w:r>
          </w:p>
          <w:p>
            <w:pPr>
              <w:widowControl/>
              <w:jc w:val="left"/>
              <w:rPr>
                <w:rFonts w:ascii="宋体" w:hAnsi="宋体"/>
                <w:color w:val="000000"/>
                <w:sz w:val="22"/>
                <w:szCs w:val="22"/>
              </w:rPr>
            </w:pPr>
            <w:r>
              <w:rPr>
                <w:rFonts w:hint="eastAsia" w:ascii="宋体" w:hAnsi="宋体"/>
                <w:color w:val="000000"/>
                <w:sz w:val="22"/>
                <w:szCs w:val="22"/>
              </w:rPr>
              <w:t>（1）应采用基于人机界面服务器的动态人机界面技术、动态图符技术、动态菜单技术、中间件技术和程序自动化技术仿真监控系统，涵盖通用的监控仿真基本功能库和监控系统仿真模板；</w:t>
            </w:r>
          </w:p>
          <w:p>
            <w:pPr>
              <w:widowControl/>
              <w:jc w:val="left"/>
              <w:rPr>
                <w:rFonts w:ascii="宋体" w:hAnsi="宋体"/>
                <w:color w:val="000000"/>
                <w:sz w:val="22"/>
                <w:szCs w:val="22"/>
              </w:rPr>
            </w:pPr>
            <w:r>
              <w:rPr>
                <w:rFonts w:hint="eastAsia" w:ascii="宋体" w:hAnsi="宋体"/>
                <w:color w:val="000000"/>
                <w:sz w:val="22"/>
                <w:szCs w:val="22"/>
              </w:rPr>
              <w:t>（2）支持在一套仿真系统上同时实现多种智能变电站综合自动化监控系统人机界面仿真，涵盖不同风格、不同类型、功能齐全的监控界面；</w:t>
            </w:r>
          </w:p>
          <w:p>
            <w:pPr>
              <w:widowControl/>
              <w:jc w:val="left"/>
              <w:rPr>
                <w:rFonts w:ascii="宋体" w:hAnsi="宋体"/>
                <w:color w:val="000000"/>
                <w:sz w:val="22"/>
                <w:szCs w:val="22"/>
              </w:rPr>
            </w:pPr>
            <w:r>
              <w:rPr>
                <w:rFonts w:hint="eastAsia" w:ascii="宋体" w:hAnsi="宋体"/>
                <w:color w:val="000000"/>
                <w:sz w:val="22"/>
                <w:szCs w:val="22"/>
              </w:rPr>
              <w:t>（3）应实现对多种智能变电站综自监控系统人机界面的统一支持，具有一机多模的能力；</w:t>
            </w:r>
          </w:p>
          <w:p>
            <w:pPr>
              <w:widowControl/>
              <w:jc w:val="left"/>
              <w:rPr>
                <w:rFonts w:ascii="宋体" w:hAnsi="宋体"/>
                <w:color w:val="000000"/>
                <w:sz w:val="22"/>
                <w:szCs w:val="22"/>
              </w:rPr>
            </w:pPr>
            <w:r>
              <w:rPr>
                <w:rFonts w:hint="eastAsia" w:ascii="宋体" w:hAnsi="宋体"/>
                <w:color w:val="000000"/>
                <w:sz w:val="22"/>
                <w:szCs w:val="22"/>
              </w:rPr>
              <w:t>四、智能变电站仿真培训管理系统</w:t>
            </w:r>
          </w:p>
          <w:p>
            <w:pPr>
              <w:widowControl/>
              <w:jc w:val="left"/>
              <w:rPr>
                <w:rFonts w:ascii="宋体" w:hAnsi="宋体"/>
                <w:color w:val="000000"/>
                <w:sz w:val="22"/>
                <w:szCs w:val="22"/>
              </w:rPr>
            </w:pPr>
            <w:r>
              <w:rPr>
                <w:rFonts w:hint="eastAsia" w:ascii="宋体" w:hAnsi="宋体"/>
                <w:color w:val="000000"/>
                <w:sz w:val="22"/>
                <w:szCs w:val="22"/>
              </w:rPr>
              <w:t>构建一个全范围、全过程、全场景的培训环境，可对学生开展培训、考核、鉴定及联合反事故演习。统一控制学员机开机、系统启动、监视、收取操作记录并进行评价。根据不同培训任务对学员角色进行分组配置，可以为不同的学生设定不同的培训内容。由四部分功能组成：</w:t>
            </w:r>
          </w:p>
          <w:p>
            <w:pPr>
              <w:widowControl/>
              <w:jc w:val="left"/>
              <w:rPr>
                <w:rFonts w:ascii="宋体" w:hAnsi="宋体"/>
                <w:color w:val="000000"/>
                <w:sz w:val="22"/>
                <w:szCs w:val="22"/>
              </w:rPr>
            </w:pPr>
            <w:r>
              <w:rPr>
                <w:rFonts w:hint="eastAsia" w:ascii="宋体" w:hAnsi="宋体"/>
                <w:color w:val="000000"/>
                <w:sz w:val="22"/>
                <w:szCs w:val="22"/>
              </w:rPr>
              <w:t>1.系统管理功能；</w:t>
            </w:r>
          </w:p>
          <w:p>
            <w:pPr>
              <w:widowControl/>
              <w:jc w:val="left"/>
              <w:rPr>
                <w:rFonts w:ascii="宋体" w:hAnsi="宋体"/>
                <w:color w:val="000000"/>
                <w:sz w:val="22"/>
                <w:szCs w:val="22"/>
              </w:rPr>
            </w:pPr>
            <w:r>
              <w:rPr>
                <w:rFonts w:hint="eastAsia" w:ascii="宋体" w:hAnsi="宋体"/>
                <w:color w:val="000000"/>
                <w:sz w:val="22"/>
                <w:szCs w:val="22"/>
              </w:rPr>
              <w:t>2.培训前运行方式和教案准备；</w:t>
            </w:r>
          </w:p>
          <w:p>
            <w:pPr>
              <w:widowControl/>
              <w:jc w:val="left"/>
              <w:rPr>
                <w:rFonts w:ascii="宋体" w:hAnsi="宋体"/>
                <w:color w:val="000000"/>
                <w:sz w:val="22"/>
                <w:szCs w:val="22"/>
              </w:rPr>
            </w:pPr>
            <w:r>
              <w:rPr>
                <w:rFonts w:hint="eastAsia" w:ascii="宋体" w:hAnsi="宋体"/>
                <w:color w:val="000000"/>
                <w:sz w:val="22"/>
                <w:szCs w:val="22"/>
              </w:rPr>
              <w:t>3.培训中的操作和进度控制；</w:t>
            </w:r>
          </w:p>
          <w:p>
            <w:pPr>
              <w:widowControl/>
              <w:jc w:val="left"/>
              <w:rPr>
                <w:rFonts w:ascii="宋体" w:hAnsi="宋体"/>
                <w:color w:val="000000"/>
                <w:sz w:val="22"/>
                <w:szCs w:val="22"/>
              </w:rPr>
            </w:pPr>
            <w:r>
              <w:rPr>
                <w:rFonts w:hint="eastAsia" w:ascii="宋体" w:hAnsi="宋体"/>
                <w:color w:val="000000"/>
                <w:sz w:val="22"/>
                <w:szCs w:val="22"/>
              </w:rPr>
              <w:t>4.培训后收取操作记录。</w:t>
            </w:r>
          </w:p>
          <w:p>
            <w:pPr>
              <w:widowControl/>
              <w:jc w:val="left"/>
              <w:rPr>
                <w:rFonts w:ascii="宋体" w:hAnsi="宋体"/>
                <w:color w:val="000000"/>
                <w:sz w:val="22"/>
                <w:szCs w:val="22"/>
              </w:rPr>
            </w:pPr>
            <w:r>
              <w:rPr>
                <w:rFonts w:hint="eastAsia" w:ascii="宋体" w:hAnsi="宋体"/>
                <w:color w:val="000000"/>
                <w:sz w:val="22"/>
                <w:szCs w:val="22"/>
              </w:rPr>
              <w:t>五、具体软件功能如下：</w:t>
            </w:r>
          </w:p>
          <w:p>
            <w:pPr>
              <w:widowControl/>
              <w:jc w:val="left"/>
              <w:rPr>
                <w:rFonts w:ascii="宋体" w:hAnsi="宋体"/>
                <w:color w:val="000000"/>
                <w:sz w:val="22"/>
                <w:szCs w:val="22"/>
              </w:rPr>
            </w:pPr>
            <w:r>
              <w:rPr>
                <w:rFonts w:hint="eastAsia" w:ascii="宋体" w:hAnsi="宋体"/>
                <w:color w:val="000000"/>
                <w:sz w:val="22"/>
                <w:szCs w:val="22"/>
              </w:rPr>
              <w:t>1.基本运行技能培训：对学生进行上岗培训，对基本运行能力进行培训及考核，使其熟悉电网和智能变电站设备及智能变电站监控系统、电网结构、运行方式、电网潮流，掌握基本运行操作及运行规程；</w:t>
            </w:r>
          </w:p>
          <w:p>
            <w:pPr>
              <w:widowControl/>
              <w:jc w:val="left"/>
              <w:rPr>
                <w:rFonts w:ascii="宋体" w:hAnsi="宋体"/>
                <w:color w:val="000000"/>
                <w:sz w:val="22"/>
                <w:szCs w:val="22"/>
              </w:rPr>
            </w:pPr>
            <w:r>
              <w:rPr>
                <w:rFonts w:hint="eastAsia" w:ascii="宋体" w:hAnsi="宋体"/>
                <w:color w:val="000000"/>
                <w:sz w:val="22"/>
                <w:szCs w:val="22"/>
              </w:rPr>
              <w:t>2.电网及智能变电站运行培训：通过仿真培训可以了解电网、智能变电站的现状、运行方式、操作规程及运行特性；</w:t>
            </w:r>
          </w:p>
          <w:p>
            <w:pPr>
              <w:widowControl/>
              <w:jc w:val="left"/>
              <w:rPr>
                <w:rFonts w:ascii="宋体" w:hAnsi="宋体"/>
                <w:color w:val="000000"/>
                <w:sz w:val="22"/>
                <w:szCs w:val="22"/>
              </w:rPr>
            </w:pPr>
            <w:r>
              <w:rPr>
                <w:rFonts w:hint="eastAsia" w:ascii="宋体" w:hAnsi="宋体"/>
                <w:color w:val="000000"/>
                <w:sz w:val="22"/>
                <w:szCs w:val="22"/>
              </w:rPr>
              <w:t>3.运行监视功能培训：实现智能变电站一、二次系统的运行监视以及站用电系统的运行监视，能完成智能变电站在运行过程中所出现的过负荷、低电压、过电压、短路、接地、谐振运行现象模拟，模拟现象与现场保护装置、监控报文一致；</w:t>
            </w:r>
          </w:p>
          <w:p>
            <w:pPr>
              <w:widowControl/>
              <w:jc w:val="left"/>
              <w:rPr>
                <w:rFonts w:ascii="宋体" w:hAnsi="宋体"/>
                <w:color w:val="000000"/>
                <w:sz w:val="22"/>
                <w:szCs w:val="22"/>
              </w:rPr>
            </w:pPr>
            <w:r>
              <w:rPr>
                <w:rFonts w:hint="eastAsia" w:ascii="宋体" w:hAnsi="宋体"/>
                <w:color w:val="000000"/>
                <w:sz w:val="22"/>
                <w:szCs w:val="22"/>
              </w:rPr>
              <w:t>4.正常操作培训：涵盖智能变电站典型操作票中的所有操作，包括主接线图、虚拟现实系统中全部一次设备及保护和自动装置、站用电及系统的操作、直流系统等设备的各种操作；二次小开关、保险的分合；并包括验电操作；</w:t>
            </w:r>
          </w:p>
          <w:p>
            <w:pPr>
              <w:widowControl/>
              <w:jc w:val="left"/>
              <w:rPr>
                <w:rFonts w:ascii="宋体" w:hAnsi="宋体"/>
                <w:color w:val="000000"/>
                <w:sz w:val="22"/>
                <w:szCs w:val="22"/>
              </w:rPr>
            </w:pPr>
            <w:r>
              <w:rPr>
                <w:rFonts w:hint="eastAsia" w:ascii="宋体" w:hAnsi="宋体"/>
                <w:color w:val="000000"/>
                <w:sz w:val="22"/>
                <w:szCs w:val="22"/>
              </w:rPr>
              <w:t>5.异常处理培训：设备异常仿真应分为在运行中自然发生的异常和需要设置的异常</w:t>
            </w:r>
          </w:p>
          <w:p>
            <w:pPr>
              <w:widowControl/>
              <w:jc w:val="left"/>
              <w:rPr>
                <w:rFonts w:ascii="宋体" w:hAnsi="宋体"/>
                <w:color w:val="000000"/>
                <w:sz w:val="22"/>
                <w:szCs w:val="22"/>
              </w:rPr>
            </w:pPr>
            <w:r>
              <w:rPr>
                <w:rFonts w:hint="eastAsia" w:ascii="宋体" w:hAnsi="宋体"/>
                <w:color w:val="000000"/>
                <w:sz w:val="22"/>
                <w:szCs w:val="22"/>
              </w:rPr>
              <w:t>（1）在运行中自然发生的异常：变压器过负荷、变压器油温超过允许值、电源消失等；</w:t>
            </w:r>
          </w:p>
          <w:p>
            <w:pPr>
              <w:widowControl/>
              <w:jc w:val="left"/>
              <w:rPr>
                <w:rFonts w:ascii="宋体" w:hAnsi="宋体"/>
                <w:color w:val="000000"/>
                <w:sz w:val="22"/>
                <w:szCs w:val="22"/>
              </w:rPr>
            </w:pPr>
            <w:r>
              <w:rPr>
                <w:rFonts w:hint="eastAsia" w:ascii="宋体" w:hAnsi="宋体"/>
                <w:color w:val="000000"/>
                <w:sz w:val="22"/>
                <w:szCs w:val="22"/>
              </w:rPr>
              <w:t>（2）需要设置的异常：变压器漏油、变压器匝间轻微短路、PT断线等；</w:t>
            </w:r>
          </w:p>
          <w:p>
            <w:pPr>
              <w:widowControl/>
              <w:jc w:val="left"/>
              <w:rPr>
                <w:rFonts w:ascii="宋体" w:hAnsi="宋体"/>
                <w:color w:val="000000"/>
                <w:sz w:val="22"/>
                <w:szCs w:val="22"/>
              </w:rPr>
            </w:pPr>
            <w:r>
              <w:rPr>
                <w:rFonts w:hint="eastAsia" w:ascii="宋体" w:hAnsi="宋体"/>
                <w:color w:val="000000"/>
                <w:sz w:val="22"/>
                <w:szCs w:val="22"/>
              </w:rPr>
              <w:t>（3）设备异常发生时，将引发相应告警信号，相应画面及监视仪表反应与现场一致；</w:t>
            </w:r>
          </w:p>
          <w:p>
            <w:pPr>
              <w:widowControl/>
              <w:jc w:val="left"/>
              <w:rPr>
                <w:rFonts w:ascii="宋体" w:hAnsi="宋体"/>
                <w:color w:val="000000"/>
                <w:sz w:val="22"/>
                <w:szCs w:val="22"/>
              </w:rPr>
            </w:pPr>
            <w:r>
              <w:rPr>
                <w:rFonts w:hint="eastAsia" w:ascii="宋体" w:hAnsi="宋体"/>
                <w:color w:val="000000"/>
                <w:sz w:val="22"/>
                <w:szCs w:val="22"/>
              </w:rPr>
              <w:t>6.事故分析及处理的培训：可进行开关、刀闸、变压器、母线、线路、电容器等各种设备及其相关的故障处理培训，发现事故、异常，依据仿真的电网环境判断故障和处理故障，并在训练结束后对事故进行分析。了解各种事故发生的现象、原因及变化过程，总结积累处理经验，增强事故处理自信。</w:t>
            </w:r>
          </w:p>
          <w:p>
            <w:pPr>
              <w:widowControl/>
              <w:jc w:val="left"/>
              <w:rPr>
                <w:rFonts w:ascii="宋体" w:hAnsi="宋体"/>
                <w:color w:val="000000"/>
                <w:sz w:val="22"/>
                <w:szCs w:val="22"/>
              </w:rPr>
            </w:pPr>
            <w:r>
              <w:rPr>
                <w:rFonts w:hint="eastAsia" w:ascii="宋体" w:hAnsi="宋体"/>
                <w:color w:val="000000"/>
                <w:sz w:val="22"/>
                <w:szCs w:val="22"/>
              </w:rPr>
              <w:t>7.考核、竞赛和技能鉴定：</w:t>
            </w:r>
          </w:p>
          <w:p>
            <w:pPr>
              <w:widowControl/>
              <w:jc w:val="left"/>
              <w:rPr>
                <w:rFonts w:ascii="宋体" w:hAnsi="宋体"/>
                <w:color w:val="000000"/>
                <w:sz w:val="22"/>
                <w:szCs w:val="22"/>
              </w:rPr>
            </w:pPr>
            <w:r>
              <w:rPr>
                <w:rFonts w:hint="eastAsia" w:ascii="宋体" w:hAnsi="宋体"/>
                <w:color w:val="000000"/>
                <w:sz w:val="22"/>
                <w:szCs w:val="22"/>
              </w:rPr>
              <w:t>（1）支持校内培训后的成果考核；</w:t>
            </w:r>
          </w:p>
          <w:p>
            <w:pPr>
              <w:widowControl/>
              <w:jc w:val="left"/>
              <w:rPr>
                <w:rFonts w:ascii="宋体" w:hAnsi="宋体"/>
                <w:color w:val="auto"/>
                <w:sz w:val="22"/>
                <w:szCs w:val="22"/>
              </w:rPr>
            </w:pPr>
            <w:r>
              <w:rPr>
                <w:rFonts w:hint="eastAsia" w:ascii="宋体" w:hAnsi="宋体"/>
                <w:color w:val="000000"/>
                <w:sz w:val="22"/>
                <w:szCs w:val="22"/>
              </w:rPr>
              <w:t>（2）支持成为国家级电网专业技</w:t>
            </w:r>
            <w:r>
              <w:rPr>
                <w:rFonts w:hint="eastAsia" w:ascii="宋体" w:hAnsi="宋体"/>
                <w:color w:val="auto"/>
                <w:sz w:val="22"/>
                <w:szCs w:val="22"/>
              </w:rPr>
              <w:t>能竞赛的常规训练手段；</w:t>
            </w:r>
          </w:p>
          <w:p>
            <w:pPr>
              <w:widowControl/>
              <w:jc w:val="left"/>
              <w:rPr>
                <w:rFonts w:ascii="宋体" w:hAnsi="宋体"/>
                <w:color w:val="auto"/>
                <w:sz w:val="22"/>
                <w:szCs w:val="22"/>
              </w:rPr>
            </w:pPr>
            <w:r>
              <w:rPr>
                <w:rFonts w:hint="eastAsia" w:ascii="宋体" w:hAnsi="宋体"/>
                <w:color w:val="auto"/>
                <w:sz w:val="22"/>
                <w:szCs w:val="22"/>
              </w:rPr>
              <w:t>（3）支持取得教育部联合国家电网推出的国网1+X证书的鉴定支撑。</w:t>
            </w:r>
          </w:p>
          <w:p>
            <w:pPr>
              <w:widowControl/>
              <w:jc w:val="left"/>
              <w:rPr>
                <w:rFonts w:hint="eastAsia" w:ascii="宋体" w:hAnsi="宋体"/>
                <w:color w:val="auto"/>
                <w:sz w:val="22"/>
                <w:szCs w:val="22"/>
              </w:rPr>
            </w:pPr>
            <w:r>
              <w:rPr>
                <w:rFonts w:hint="eastAsia" w:ascii="宋体" w:hAnsi="宋体"/>
                <w:color w:val="auto"/>
                <w:sz w:val="22"/>
                <w:szCs w:val="22"/>
              </w:rPr>
              <w:t>8</w:t>
            </w:r>
            <w:r>
              <w:rPr>
                <w:rFonts w:ascii="宋体" w:hAnsi="宋体"/>
                <w:color w:val="auto"/>
                <w:sz w:val="22"/>
                <w:szCs w:val="22"/>
              </w:rPr>
              <w:t>.</w:t>
            </w:r>
            <w:r>
              <w:rPr>
                <w:rFonts w:hint="eastAsia" w:ascii="宋体" w:hAnsi="宋体"/>
                <w:color w:val="auto"/>
                <w:sz w:val="22"/>
                <w:szCs w:val="22"/>
              </w:rPr>
              <w:t>验证性测试：</w:t>
            </w:r>
          </w:p>
          <w:p>
            <w:pPr>
              <w:widowControl/>
              <w:jc w:val="left"/>
              <w:rPr>
                <w:rFonts w:hint="eastAsia" w:ascii="宋体" w:hAnsi="宋体"/>
                <w:color w:val="auto"/>
                <w:sz w:val="22"/>
                <w:szCs w:val="22"/>
              </w:rPr>
            </w:pPr>
            <w:r>
              <w:rPr>
                <w:rFonts w:hint="eastAsia" w:ascii="宋体" w:hAnsi="宋体"/>
                <w:color w:val="auto"/>
                <w:sz w:val="22"/>
                <w:szCs w:val="22"/>
              </w:rPr>
              <w:t>（1）投标人在投标现场提供软件以下功能演示视频</w:t>
            </w:r>
          </w:p>
          <w:p>
            <w:pPr>
              <w:widowControl/>
              <w:jc w:val="left"/>
              <w:rPr>
                <w:rFonts w:hint="eastAsia" w:ascii="宋体" w:hAnsi="宋体"/>
                <w:color w:val="auto"/>
                <w:sz w:val="22"/>
                <w:szCs w:val="22"/>
              </w:rPr>
            </w:pPr>
            <w:r>
              <w:rPr>
                <w:rFonts w:hint="eastAsia" w:ascii="宋体" w:hAnsi="宋体"/>
                <w:color w:val="auto"/>
                <w:sz w:val="22"/>
                <w:szCs w:val="22"/>
              </w:rPr>
              <w:t>①变电站主接线图演示；</w:t>
            </w:r>
          </w:p>
          <w:p>
            <w:pPr>
              <w:widowControl/>
              <w:jc w:val="left"/>
              <w:rPr>
                <w:rFonts w:hint="eastAsia" w:ascii="宋体" w:hAnsi="宋体"/>
                <w:color w:val="auto"/>
                <w:sz w:val="22"/>
                <w:szCs w:val="22"/>
              </w:rPr>
            </w:pPr>
            <w:r>
              <w:rPr>
                <w:rFonts w:hint="eastAsia" w:ascii="宋体" w:hAnsi="宋体"/>
                <w:color w:val="auto"/>
                <w:sz w:val="22"/>
                <w:szCs w:val="22"/>
              </w:rPr>
              <w:t>②变压器、断路器运行状态演示；</w:t>
            </w:r>
          </w:p>
          <w:p>
            <w:pPr>
              <w:widowControl/>
              <w:jc w:val="left"/>
              <w:rPr>
                <w:rFonts w:hint="default" w:ascii="宋体" w:hAnsi="宋体" w:eastAsia="宋体"/>
                <w:color w:val="FF0000"/>
                <w:sz w:val="22"/>
                <w:szCs w:val="22"/>
                <w:lang w:val="en-US" w:eastAsia="zh-CN"/>
              </w:rPr>
            </w:pPr>
            <w:r>
              <w:rPr>
                <w:rFonts w:hint="eastAsia" w:ascii="宋体" w:hAnsi="宋体"/>
                <w:color w:val="000000"/>
                <w:sz w:val="22"/>
                <w:szCs w:val="22"/>
              </w:rPr>
              <w:t>（2）提供第三方出具的软件测试报告。</w:t>
            </w:r>
          </w:p>
        </w:tc>
        <w:tc>
          <w:tcPr>
            <w:tcW w:w="1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项</w:t>
            </w:r>
          </w:p>
        </w:tc>
        <w:tc>
          <w:tcPr>
            <w:tcW w:w="1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1</w:t>
            </w:r>
          </w:p>
        </w:tc>
        <w:tc>
          <w:tcPr>
            <w:tcW w:w="3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22"/>
                <w:szCs w:val="22"/>
              </w:rPr>
            </w:pPr>
            <w:r>
              <w:rPr>
                <w:rFonts w:hint="eastAsia" w:ascii="宋体" w:hAnsi="宋体"/>
                <w:color w:val="000000"/>
                <w:sz w:val="22"/>
                <w:szCs w:val="22"/>
                <w:lang w:val="en-US" w:eastAsia="zh-CN"/>
              </w:rPr>
              <w:t>86.88</w:t>
            </w:r>
          </w:p>
        </w:tc>
        <w:tc>
          <w:tcPr>
            <w:tcW w:w="46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p>
        </w:tc>
        <w:tc>
          <w:tcPr>
            <w:tcW w:w="47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2</w:t>
            </w:r>
          </w:p>
        </w:tc>
        <w:tc>
          <w:tcPr>
            <w:tcW w:w="2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工作站</w:t>
            </w:r>
          </w:p>
        </w:tc>
        <w:tc>
          <w:tcPr>
            <w:tcW w:w="2873"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2"/>
                <w:szCs w:val="22"/>
              </w:rPr>
            </w:pPr>
            <w:r>
              <w:rPr>
                <w:rFonts w:hint="eastAsia" w:ascii="宋体" w:hAnsi="宋体"/>
                <w:color w:val="000000"/>
                <w:sz w:val="22"/>
                <w:szCs w:val="22"/>
              </w:rPr>
              <w:t>★1.处理器参数：≥12 MB 缓存, ≥6 核, 2.7 GHz 至 4.6 GHz ；</w:t>
            </w:r>
          </w:p>
          <w:p>
            <w:pPr>
              <w:widowControl/>
              <w:jc w:val="left"/>
              <w:rPr>
                <w:rFonts w:ascii="宋体" w:hAnsi="宋体"/>
                <w:color w:val="000000"/>
                <w:sz w:val="22"/>
                <w:szCs w:val="22"/>
              </w:rPr>
            </w:pPr>
            <w:r>
              <w:rPr>
                <w:rFonts w:hint="eastAsia" w:ascii="宋体" w:hAnsi="宋体"/>
                <w:color w:val="000000"/>
                <w:sz w:val="22"/>
                <w:szCs w:val="22"/>
              </w:rPr>
              <w:t>2.芯片组：配置不低于W580芯片组，支持PCIE 4.0通道技术；</w:t>
            </w:r>
          </w:p>
          <w:p>
            <w:pPr>
              <w:widowControl/>
              <w:jc w:val="left"/>
              <w:rPr>
                <w:rFonts w:ascii="宋体" w:hAnsi="宋体"/>
                <w:color w:val="000000"/>
                <w:sz w:val="22"/>
                <w:szCs w:val="22"/>
              </w:rPr>
            </w:pPr>
            <w:r>
              <w:rPr>
                <w:rFonts w:hint="eastAsia" w:ascii="宋体" w:hAnsi="宋体"/>
                <w:color w:val="000000"/>
                <w:sz w:val="22"/>
                <w:szCs w:val="22"/>
              </w:rPr>
              <w:t>3.内存参数：配置≥8GB，工作频率≥3200MHz，单设备支持不少于4个DIMM插槽，支持ECC及NECC内存；</w:t>
            </w:r>
          </w:p>
          <w:p>
            <w:pPr>
              <w:widowControl/>
              <w:jc w:val="left"/>
              <w:rPr>
                <w:rFonts w:ascii="宋体" w:hAnsi="宋体"/>
                <w:color w:val="000000"/>
                <w:sz w:val="22"/>
                <w:szCs w:val="22"/>
              </w:rPr>
            </w:pPr>
            <w:r>
              <w:rPr>
                <w:rFonts w:hint="eastAsia" w:ascii="宋体" w:hAnsi="宋体"/>
                <w:color w:val="000000"/>
                <w:sz w:val="22"/>
                <w:szCs w:val="22"/>
              </w:rPr>
              <w:t xml:space="preserve">4.存储参数：配置≥1块256G PCIE NVMe Class 40 M.2 SSD+1块≥1TB SATA 3.5英寸HDD；单设备支持不少于4个2.5 英寸或者3个3.5英寸；3个M.2 PCIE NVME SSD </w:t>
            </w:r>
          </w:p>
          <w:p>
            <w:pPr>
              <w:widowControl/>
              <w:jc w:val="left"/>
              <w:rPr>
                <w:rFonts w:ascii="宋体" w:hAnsi="宋体"/>
                <w:color w:val="000000"/>
                <w:sz w:val="22"/>
                <w:szCs w:val="22"/>
              </w:rPr>
            </w:pPr>
            <w:r>
              <w:rPr>
                <w:rFonts w:hint="eastAsia" w:ascii="宋体" w:hAnsi="宋体"/>
                <w:color w:val="000000"/>
                <w:sz w:val="22"/>
                <w:szCs w:val="22"/>
              </w:rPr>
              <w:t>5.网络参数：支持有线网卡，千兆以太网卡；支持扩展英特尔®以太网；</w:t>
            </w:r>
          </w:p>
          <w:p>
            <w:pPr>
              <w:widowControl/>
              <w:jc w:val="left"/>
              <w:rPr>
                <w:rFonts w:ascii="宋体" w:hAnsi="宋体"/>
                <w:color w:val="000000"/>
                <w:sz w:val="22"/>
                <w:szCs w:val="22"/>
              </w:rPr>
            </w:pPr>
            <w:r>
              <w:rPr>
                <w:rFonts w:hint="eastAsia" w:ascii="宋体" w:hAnsi="宋体"/>
                <w:color w:val="000000"/>
                <w:sz w:val="22"/>
                <w:szCs w:val="22"/>
              </w:rPr>
              <w:t>6.显卡：配置≥1块Nvidia T400 4GB, 4GB；支持配置单卡≥48G缓存。要求原厂预装非后期加装，且与整机享受相同年限的售后服务；</w:t>
            </w:r>
          </w:p>
          <w:p>
            <w:pPr>
              <w:widowControl/>
              <w:jc w:val="left"/>
              <w:rPr>
                <w:rFonts w:ascii="宋体" w:hAnsi="宋体"/>
                <w:color w:val="000000"/>
                <w:sz w:val="22"/>
                <w:szCs w:val="22"/>
              </w:rPr>
            </w:pPr>
            <w:r>
              <w:rPr>
                <w:rFonts w:hint="eastAsia" w:ascii="宋体" w:hAnsi="宋体"/>
                <w:color w:val="000000"/>
                <w:sz w:val="22"/>
                <w:szCs w:val="22"/>
              </w:rPr>
              <w:t>7.显示器应与主机同一品牌，尺寸≥23.8英寸、分辨率≥1920 *1080，应采用IPS液晶面板，集成≥1个HDMI1.4、 1个DisplayPort(vr 1.2)、 1个VGA和USB接口，亮度≥250 cd/m ²，出厂应带DP和USB线缆；</w:t>
            </w:r>
          </w:p>
          <w:p>
            <w:pPr>
              <w:widowControl/>
              <w:jc w:val="left"/>
              <w:rPr>
                <w:rFonts w:ascii="宋体" w:hAnsi="宋体"/>
                <w:color w:val="000000"/>
                <w:sz w:val="22"/>
                <w:szCs w:val="22"/>
              </w:rPr>
            </w:pPr>
            <w:r>
              <w:rPr>
                <w:rFonts w:hint="eastAsia" w:ascii="宋体" w:hAnsi="宋体"/>
                <w:color w:val="000000"/>
                <w:sz w:val="22"/>
                <w:szCs w:val="22"/>
              </w:rPr>
              <w:t>8.操作系统：出厂预装正版Windows10及以上 64位正版操作系统；</w:t>
            </w:r>
          </w:p>
          <w:p>
            <w:pPr>
              <w:widowControl/>
              <w:jc w:val="left"/>
              <w:rPr>
                <w:rFonts w:ascii="宋体" w:hAnsi="宋体"/>
                <w:color w:val="000000"/>
                <w:sz w:val="22"/>
                <w:szCs w:val="22"/>
              </w:rPr>
            </w:pPr>
            <w:r>
              <w:rPr>
                <w:rFonts w:hint="eastAsia" w:ascii="宋体" w:hAnsi="宋体"/>
                <w:color w:val="000000"/>
                <w:sz w:val="22"/>
                <w:szCs w:val="22"/>
              </w:rPr>
              <w:t>9.设备端口:配置≥10个外置USB协议接口，≥1 个麦克风插孔，≥1 个 3.5 毫米耳机插孔，带麦克风，≥2 个 DP 1.4接口，≥2 个 PS2（用于键盘和鼠标的旧式端口），≥1 个 RJ45 网络接口，≥1 个音频输出端口，≥1 个可选端口（VGA、 HDMI 2.0、 DP++ 1.4a、 Type C，支持 DP 替代模式）；</w:t>
            </w:r>
          </w:p>
          <w:p>
            <w:pPr>
              <w:widowControl/>
              <w:jc w:val="left"/>
              <w:rPr>
                <w:rFonts w:ascii="宋体" w:hAnsi="宋体"/>
                <w:color w:val="000000"/>
                <w:sz w:val="22"/>
                <w:szCs w:val="22"/>
              </w:rPr>
            </w:pPr>
            <w:r>
              <w:rPr>
                <w:rFonts w:hint="eastAsia" w:ascii="宋体" w:hAnsi="宋体"/>
                <w:color w:val="000000"/>
                <w:sz w:val="22"/>
                <w:szCs w:val="22"/>
              </w:rPr>
              <w:t>10.PCIE插槽：配置≥2个第4 代PCIe插槽；1 个PCI  32 位/33 MHz插槽；</w:t>
            </w:r>
          </w:p>
          <w:p>
            <w:pPr>
              <w:widowControl/>
              <w:jc w:val="left"/>
              <w:rPr>
                <w:rFonts w:ascii="宋体" w:hAnsi="宋体"/>
                <w:color w:val="000000"/>
                <w:sz w:val="22"/>
                <w:szCs w:val="22"/>
              </w:rPr>
            </w:pPr>
            <w:r>
              <w:rPr>
                <w:rFonts w:hint="eastAsia" w:ascii="宋体" w:hAnsi="宋体"/>
                <w:color w:val="000000"/>
                <w:sz w:val="22"/>
                <w:szCs w:val="22"/>
              </w:rPr>
              <w:t>11.电源：≥460W 90%能效110/220V电源；电源应自带诊断灯；</w:t>
            </w:r>
          </w:p>
          <w:p>
            <w:pPr>
              <w:widowControl/>
              <w:jc w:val="left"/>
              <w:rPr>
                <w:rFonts w:ascii="宋体" w:hAnsi="宋体"/>
                <w:color w:val="000000"/>
                <w:sz w:val="22"/>
                <w:szCs w:val="22"/>
              </w:rPr>
            </w:pPr>
            <w:r>
              <w:rPr>
                <w:rFonts w:hint="eastAsia" w:ascii="宋体" w:hAnsi="宋体"/>
                <w:color w:val="000000"/>
                <w:sz w:val="22"/>
                <w:szCs w:val="22"/>
              </w:rPr>
              <w:t>12.机箱支持高效散热静音，支持免工具开箱和部件维护，机箱体积≤21L；</w:t>
            </w:r>
          </w:p>
          <w:p>
            <w:pPr>
              <w:widowControl/>
              <w:jc w:val="left"/>
              <w:rPr>
                <w:rFonts w:ascii="宋体" w:hAnsi="宋体"/>
                <w:color w:val="000000"/>
                <w:sz w:val="22"/>
                <w:szCs w:val="22"/>
              </w:rPr>
            </w:pPr>
            <w:r>
              <w:rPr>
                <w:rFonts w:hint="eastAsia" w:ascii="宋体" w:hAnsi="宋体"/>
                <w:color w:val="000000"/>
                <w:sz w:val="22"/>
                <w:szCs w:val="22"/>
              </w:rPr>
              <w:t>13.鼠标键盘：提供工作站同品牌USB接口键盘、USB接口光电鼠标；</w:t>
            </w:r>
          </w:p>
          <w:p>
            <w:pPr>
              <w:widowControl/>
              <w:jc w:val="left"/>
              <w:rPr>
                <w:rFonts w:ascii="宋体" w:hAnsi="宋体"/>
                <w:color w:val="000000"/>
                <w:sz w:val="22"/>
                <w:szCs w:val="22"/>
              </w:rPr>
            </w:pPr>
            <w:r>
              <w:rPr>
                <w:rFonts w:hint="eastAsia" w:ascii="宋体" w:hAnsi="宋体"/>
                <w:color w:val="000000"/>
                <w:sz w:val="22"/>
                <w:szCs w:val="22"/>
              </w:rPr>
              <w:t>14.光驱：可选8x DVD+/-RW 9.5mm 光驱；</w:t>
            </w:r>
          </w:p>
          <w:p>
            <w:pPr>
              <w:widowControl/>
              <w:jc w:val="left"/>
              <w:rPr>
                <w:rFonts w:ascii="宋体" w:hAnsi="宋体"/>
                <w:color w:val="000000"/>
                <w:sz w:val="22"/>
                <w:szCs w:val="22"/>
              </w:rPr>
            </w:pPr>
            <w:r>
              <w:rPr>
                <w:rFonts w:hint="eastAsia" w:ascii="宋体" w:hAnsi="宋体"/>
                <w:color w:val="000000"/>
                <w:sz w:val="22"/>
                <w:szCs w:val="22"/>
              </w:rPr>
              <w:t>15.提供产品的厂家正品彩页资料（非OEM），关于本次招标所有技术参数响应的参照标准均以投标产品厂商的产品彩页为准，如不能提供投标产品厂商的产品彩页可视为不符合招标技术要求；</w:t>
            </w:r>
          </w:p>
          <w:p>
            <w:pPr>
              <w:widowControl/>
              <w:jc w:val="left"/>
              <w:rPr>
                <w:rFonts w:ascii="宋体" w:hAnsi="宋体"/>
                <w:color w:val="000000"/>
                <w:sz w:val="22"/>
                <w:szCs w:val="22"/>
              </w:rPr>
            </w:pPr>
            <w:r>
              <w:rPr>
                <w:rFonts w:hint="eastAsia" w:ascii="宋体" w:hAnsi="宋体"/>
                <w:color w:val="000000"/>
                <w:sz w:val="22"/>
                <w:szCs w:val="22"/>
              </w:rPr>
              <w:t>16.兼容性：具备ISV认证，通过≥15种ISV软件兼容性测试，并提供清单，加盖主机生产商鲜章；</w:t>
            </w:r>
          </w:p>
          <w:p>
            <w:pPr>
              <w:widowControl/>
              <w:jc w:val="left"/>
              <w:rPr>
                <w:rFonts w:ascii="宋体" w:hAnsi="宋体"/>
                <w:color w:val="000000"/>
                <w:sz w:val="22"/>
                <w:szCs w:val="22"/>
              </w:rPr>
            </w:pPr>
            <w:r>
              <w:rPr>
                <w:rFonts w:hint="eastAsia" w:ascii="宋体" w:hAnsi="宋体"/>
                <w:color w:val="000000"/>
                <w:sz w:val="22"/>
                <w:szCs w:val="22"/>
              </w:rPr>
              <w:t>17.内存稳定性：支持基于ECC内存软件防错技术，配置基于内存硬件防错技术（通过使损坏的内存位无法访问来减少停机，同时识别和隔离坏内存部分来延长内存寿命），并提供相关功能证明文件；</w:t>
            </w:r>
          </w:p>
          <w:p>
            <w:pPr>
              <w:widowControl/>
              <w:jc w:val="left"/>
              <w:rPr>
                <w:rFonts w:ascii="宋体" w:hAnsi="宋体"/>
                <w:color w:val="000000"/>
                <w:sz w:val="22"/>
                <w:szCs w:val="22"/>
              </w:rPr>
            </w:pPr>
            <w:r>
              <w:rPr>
                <w:rFonts w:hint="eastAsia" w:ascii="宋体" w:hAnsi="宋体"/>
                <w:color w:val="000000"/>
                <w:sz w:val="22"/>
                <w:szCs w:val="22"/>
              </w:rPr>
              <w:t>18.系统安全：随机提供主机生产商提供同品牌备份与恢复解决方案，支持从U盘/移动存储，或者网络备份恢复Windows操作系统、数据；支持备份选定目录的文件数据；支持裸机恢复，在操作系统崩溃/无法进入Windows时不影响备份/恢复运行；支持在同一操作界面中集成硬件扫描功能，可诊断硬盘/SSD、内存、电池、风扇等组件状态，备份/恢复软件界面，支持简体中文、繁体中文、英文、日文等多国语言;支持虚拟磁盘，防止数据丢失，通过虚拟磁盘功能，加载进度数据，并可以拷贝出来。并提供相关功能证明文件；</w:t>
            </w:r>
          </w:p>
          <w:p>
            <w:pPr>
              <w:widowControl/>
              <w:jc w:val="left"/>
              <w:rPr>
                <w:rFonts w:ascii="宋体" w:hAnsi="宋体"/>
                <w:color w:val="000000"/>
                <w:sz w:val="22"/>
                <w:szCs w:val="22"/>
              </w:rPr>
            </w:pPr>
            <w:r>
              <w:rPr>
                <w:rFonts w:hint="eastAsia" w:ascii="宋体" w:hAnsi="宋体"/>
                <w:color w:val="000000"/>
                <w:sz w:val="22"/>
                <w:szCs w:val="22"/>
              </w:rPr>
              <w:t>19.AI性能优化：随机提供AI智能调优软件兼容主流专业ISV软件，使用 AI 和英特尔® Adaptix 技术管理用户最关键应用程序的速度和性能，可以生成 CPU、磁盘、内存和显卡利用率的分析报告,并提供相关功能证明文件；</w:t>
            </w:r>
          </w:p>
          <w:p>
            <w:pPr>
              <w:widowControl/>
              <w:jc w:val="left"/>
              <w:rPr>
                <w:rFonts w:ascii="宋体" w:hAnsi="宋体"/>
                <w:color w:val="000000"/>
                <w:sz w:val="22"/>
                <w:szCs w:val="22"/>
              </w:rPr>
            </w:pPr>
            <w:r>
              <w:rPr>
                <w:rFonts w:hint="eastAsia" w:ascii="宋体" w:hAnsi="宋体"/>
                <w:color w:val="000000"/>
                <w:sz w:val="22"/>
                <w:szCs w:val="22"/>
              </w:rPr>
              <w:t>20.远程网络控制：可控制人员设备是否能上网，或者设定机房内计算机内外网的访问黑白名单，提供良好办公业务环境，并提供相关功能证明文件；</w:t>
            </w:r>
          </w:p>
          <w:p>
            <w:pPr>
              <w:widowControl/>
              <w:jc w:val="left"/>
              <w:rPr>
                <w:rFonts w:ascii="宋体" w:hAnsi="宋体"/>
                <w:color w:val="000000"/>
                <w:sz w:val="22"/>
                <w:szCs w:val="22"/>
              </w:rPr>
            </w:pPr>
            <w:r>
              <w:rPr>
                <w:rFonts w:hint="eastAsia" w:ascii="宋体" w:hAnsi="宋体"/>
                <w:color w:val="000000"/>
                <w:sz w:val="22"/>
                <w:szCs w:val="22"/>
              </w:rPr>
              <w:t>21.认证要求：产品须通过CCC认证；要求获得质量管理体系认证，并提供相关证明证书；要求获得IT服务管理体系认证，并提供相关证明证书；要求获得环境管理体系认证，并提供相关证明证书；要求获得信息安全管理体系认证，并提供相关证明证书；生产厂商入围“中国工业和信息化部（MIIT）第四批绿色供应链管理示范企业名单认可企业” （备注：上述内容要求提供从MIIT官网下载绿色供应链管理示范企业名单，由厂家盖章附到投标文件正本中。可从MIIT官网查询）；</w:t>
            </w:r>
          </w:p>
          <w:p>
            <w:pPr>
              <w:widowControl/>
              <w:jc w:val="left"/>
              <w:rPr>
                <w:rFonts w:hint="eastAsia" w:ascii="宋体" w:hAnsi="宋体"/>
                <w:color w:val="000000"/>
                <w:sz w:val="22"/>
                <w:szCs w:val="22"/>
              </w:rPr>
            </w:pPr>
          </w:p>
        </w:tc>
        <w:tc>
          <w:tcPr>
            <w:tcW w:w="1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台</w:t>
            </w:r>
          </w:p>
        </w:tc>
        <w:tc>
          <w:tcPr>
            <w:tcW w:w="1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46</w:t>
            </w:r>
          </w:p>
        </w:tc>
        <w:tc>
          <w:tcPr>
            <w:tcW w:w="3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22"/>
                <w:szCs w:val="22"/>
              </w:rPr>
            </w:pPr>
            <w:r>
              <w:rPr>
                <w:rFonts w:hint="eastAsia" w:ascii="宋体" w:hAnsi="宋体"/>
                <w:color w:val="000000"/>
                <w:sz w:val="22"/>
                <w:szCs w:val="22"/>
              </w:rPr>
              <w:t>0</w:t>
            </w:r>
            <w:r>
              <w:rPr>
                <w:rFonts w:ascii="宋体" w:hAnsi="宋体"/>
                <w:color w:val="000000"/>
                <w:sz w:val="22"/>
                <w:szCs w:val="22"/>
              </w:rPr>
              <w:t>.72</w:t>
            </w:r>
          </w:p>
        </w:tc>
        <w:tc>
          <w:tcPr>
            <w:tcW w:w="46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否</w:t>
            </w:r>
          </w:p>
        </w:tc>
        <w:tc>
          <w:tcPr>
            <w:tcW w:w="47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保证所供设备满足教学需求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000000"/>
                <w:sz w:val="22"/>
                <w:szCs w:val="22"/>
                <w:lang w:val="en-US" w:eastAsia="zh-CN"/>
              </w:rPr>
            </w:pPr>
            <w:r>
              <w:rPr>
                <w:rFonts w:hint="eastAsia" w:ascii="宋体" w:hAnsi="宋体"/>
                <w:color w:val="000000"/>
                <w:sz w:val="22"/>
                <w:szCs w:val="22"/>
                <w:lang w:val="en-US" w:eastAsia="zh-CN"/>
              </w:rPr>
              <w:t>3</w:t>
            </w:r>
          </w:p>
        </w:tc>
        <w:tc>
          <w:tcPr>
            <w:tcW w:w="2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智能变电站运维教学资源开发</w:t>
            </w:r>
          </w:p>
        </w:tc>
        <w:tc>
          <w:tcPr>
            <w:tcW w:w="2873"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 w:val="22"/>
                <w:szCs w:val="22"/>
              </w:rPr>
            </w:pPr>
            <w:r>
              <w:rPr>
                <w:rFonts w:hint="eastAsia" w:ascii="宋体" w:hAnsi="宋体"/>
                <w:color w:val="000000"/>
                <w:sz w:val="22"/>
                <w:szCs w:val="22"/>
              </w:rPr>
              <w:t>本课程资源符合教育部</w:t>
            </w:r>
            <w:r>
              <w:rPr>
                <w:rFonts w:hint="eastAsia" w:ascii="宋体" w:hAnsi="宋体"/>
                <w:color w:val="000000"/>
                <w:sz w:val="22"/>
                <w:szCs w:val="22"/>
                <w:highlight w:val="none"/>
              </w:rPr>
              <w:t>联合国家电网推出的国网1+X证书标准，包含教学视频</w:t>
            </w:r>
            <w:r>
              <w:rPr>
                <w:rFonts w:hint="eastAsia" w:ascii="宋体" w:hAnsi="宋体"/>
                <w:color w:val="000000"/>
                <w:sz w:val="22"/>
                <w:szCs w:val="22"/>
                <w:highlight w:val="none"/>
                <w:lang w:eastAsia="zh-CN"/>
              </w:rPr>
              <w:t>、</w:t>
            </w:r>
            <w:r>
              <w:rPr>
                <w:rFonts w:hint="eastAsia" w:ascii="宋体" w:hAnsi="宋体"/>
                <w:color w:val="000000"/>
                <w:sz w:val="22"/>
                <w:szCs w:val="22"/>
                <w:highlight w:val="none"/>
              </w:rPr>
              <w:t>教学课件</w:t>
            </w:r>
            <w:r>
              <w:rPr>
                <w:rFonts w:hint="eastAsia" w:ascii="宋体" w:hAnsi="宋体"/>
                <w:color w:val="000000"/>
                <w:sz w:val="22"/>
                <w:szCs w:val="22"/>
                <w:highlight w:val="none"/>
                <w:lang w:val="en-US" w:eastAsia="zh-CN"/>
              </w:rPr>
              <w:t>和校本教材</w:t>
            </w:r>
            <w:r>
              <w:rPr>
                <w:rFonts w:hint="eastAsia" w:ascii="宋体" w:hAnsi="宋体"/>
                <w:color w:val="000000"/>
                <w:sz w:val="22"/>
                <w:szCs w:val="22"/>
                <w:highlight w:val="none"/>
                <w:lang w:eastAsia="zh-CN"/>
              </w:rPr>
              <w:t>，</w:t>
            </w:r>
            <w:r>
              <w:rPr>
                <w:rFonts w:hint="eastAsia" w:ascii="宋体" w:hAnsi="宋体"/>
                <w:color w:val="000000"/>
                <w:sz w:val="22"/>
                <w:szCs w:val="22"/>
                <w:highlight w:val="none"/>
                <w:lang w:val="en-US" w:eastAsia="zh-CN"/>
              </w:rPr>
              <w:t>其中</w:t>
            </w:r>
            <w:r>
              <w:rPr>
                <w:rFonts w:hint="eastAsia" w:ascii="宋体" w:hAnsi="宋体"/>
                <w:color w:val="000000"/>
                <w:sz w:val="22"/>
                <w:szCs w:val="22"/>
                <w:highlight w:val="none"/>
              </w:rPr>
              <w:t>教学视频不少于10个</w:t>
            </w:r>
            <w:r>
              <w:rPr>
                <w:rFonts w:hint="eastAsia" w:ascii="宋体" w:hAnsi="宋体"/>
                <w:color w:val="000000"/>
                <w:sz w:val="22"/>
                <w:szCs w:val="22"/>
                <w:highlight w:val="none"/>
                <w:lang w:eastAsia="zh-CN"/>
              </w:rPr>
              <w:t>、</w:t>
            </w:r>
            <w:r>
              <w:rPr>
                <w:rFonts w:hint="eastAsia" w:ascii="宋体" w:hAnsi="宋体"/>
                <w:color w:val="000000"/>
                <w:sz w:val="22"/>
                <w:szCs w:val="22"/>
                <w:highlight w:val="none"/>
              </w:rPr>
              <w:t>教学</w:t>
            </w:r>
            <w:r>
              <w:rPr>
                <w:rFonts w:hint="eastAsia" w:ascii="宋体" w:hAnsi="宋体"/>
                <w:color w:val="auto"/>
                <w:sz w:val="22"/>
                <w:szCs w:val="22"/>
                <w:highlight w:val="none"/>
              </w:rPr>
              <w:t>课件不少于48课时</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微课不少于5个，动画不少于8个，校本教材不少于120页</w:t>
            </w:r>
            <w:r>
              <w:rPr>
                <w:rFonts w:hint="eastAsia" w:ascii="宋体" w:hAnsi="宋体"/>
                <w:color w:val="auto"/>
                <w:sz w:val="22"/>
                <w:szCs w:val="22"/>
                <w:highlight w:val="none"/>
                <w:lang w:eastAsia="zh-CN"/>
              </w:rPr>
              <w:t>，</w:t>
            </w:r>
            <w:r>
              <w:rPr>
                <w:rFonts w:hint="eastAsia" w:ascii="宋体" w:hAnsi="宋体"/>
                <w:color w:val="auto"/>
                <w:sz w:val="22"/>
                <w:szCs w:val="22"/>
                <w:highlight w:val="none"/>
              </w:rPr>
              <w:t>主要涵盖以下内容：</w:t>
            </w:r>
          </w:p>
          <w:p>
            <w:pPr>
              <w:widowControl/>
              <w:jc w:val="left"/>
              <w:rPr>
                <w:rFonts w:ascii="宋体" w:hAnsi="宋体"/>
                <w:color w:val="auto"/>
                <w:sz w:val="22"/>
                <w:szCs w:val="22"/>
              </w:rPr>
            </w:pPr>
            <w:r>
              <w:rPr>
                <w:rFonts w:hint="eastAsia" w:ascii="宋体" w:hAnsi="宋体"/>
                <w:color w:val="auto"/>
                <w:sz w:val="22"/>
                <w:szCs w:val="22"/>
              </w:rPr>
              <w:t>1.智能站的基本概念</w:t>
            </w:r>
          </w:p>
          <w:p>
            <w:pPr>
              <w:widowControl/>
              <w:jc w:val="left"/>
              <w:rPr>
                <w:rFonts w:ascii="宋体" w:hAnsi="宋体"/>
                <w:color w:val="000000"/>
                <w:sz w:val="22"/>
                <w:szCs w:val="22"/>
              </w:rPr>
            </w:pPr>
            <w:r>
              <w:rPr>
                <w:rFonts w:hint="eastAsia" w:ascii="宋体" w:hAnsi="宋体"/>
                <w:color w:val="000000"/>
                <w:sz w:val="22"/>
                <w:szCs w:val="22"/>
              </w:rPr>
              <w:t>（1）变电站演变</w:t>
            </w:r>
          </w:p>
          <w:p>
            <w:pPr>
              <w:widowControl/>
              <w:jc w:val="left"/>
              <w:rPr>
                <w:rFonts w:ascii="宋体" w:hAnsi="宋体"/>
                <w:color w:val="000000"/>
                <w:sz w:val="22"/>
                <w:szCs w:val="22"/>
              </w:rPr>
            </w:pPr>
            <w:r>
              <w:rPr>
                <w:rFonts w:hint="eastAsia" w:ascii="宋体" w:hAnsi="宋体"/>
                <w:color w:val="000000"/>
                <w:sz w:val="22"/>
                <w:szCs w:val="22"/>
              </w:rPr>
              <w:t>（2）智能变电站</w:t>
            </w:r>
          </w:p>
          <w:p>
            <w:pPr>
              <w:widowControl/>
              <w:jc w:val="left"/>
              <w:rPr>
                <w:rFonts w:ascii="宋体" w:hAnsi="宋体"/>
                <w:color w:val="000000"/>
                <w:sz w:val="22"/>
                <w:szCs w:val="22"/>
              </w:rPr>
            </w:pPr>
            <w:r>
              <w:rPr>
                <w:rFonts w:hint="eastAsia" w:ascii="宋体" w:hAnsi="宋体"/>
                <w:color w:val="000000"/>
                <w:sz w:val="22"/>
                <w:szCs w:val="22"/>
              </w:rPr>
              <w:t>（3）智能站与常规站对比</w:t>
            </w:r>
          </w:p>
          <w:p>
            <w:pPr>
              <w:widowControl/>
              <w:jc w:val="left"/>
              <w:rPr>
                <w:rFonts w:ascii="宋体" w:hAnsi="宋体"/>
                <w:color w:val="000000"/>
                <w:sz w:val="22"/>
                <w:szCs w:val="22"/>
              </w:rPr>
            </w:pPr>
            <w:r>
              <w:rPr>
                <w:rFonts w:hint="eastAsia" w:ascii="宋体" w:hAnsi="宋体"/>
                <w:color w:val="000000"/>
                <w:sz w:val="22"/>
                <w:szCs w:val="22"/>
              </w:rPr>
              <w:t>2.智能站的一二次设备</w:t>
            </w:r>
          </w:p>
          <w:p>
            <w:pPr>
              <w:widowControl/>
              <w:jc w:val="left"/>
              <w:rPr>
                <w:rFonts w:ascii="宋体" w:hAnsi="宋体"/>
                <w:color w:val="000000"/>
                <w:sz w:val="22"/>
                <w:szCs w:val="22"/>
              </w:rPr>
            </w:pPr>
            <w:r>
              <w:rPr>
                <w:rFonts w:hint="eastAsia" w:ascii="宋体" w:hAnsi="宋体"/>
                <w:color w:val="000000"/>
                <w:sz w:val="22"/>
                <w:szCs w:val="22"/>
              </w:rPr>
              <w:t>（1）智能站组件、控制柜、终端</w:t>
            </w:r>
          </w:p>
          <w:p>
            <w:pPr>
              <w:widowControl/>
              <w:jc w:val="left"/>
              <w:rPr>
                <w:rFonts w:ascii="宋体" w:hAnsi="宋体"/>
                <w:color w:val="000000"/>
                <w:sz w:val="22"/>
                <w:szCs w:val="22"/>
              </w:rPr>
            </w:pPr>
            <w:r>
              <w:rPr>
                <w:rFonts w:hint="eastAsia" w:ascii="宋体" w:hAnsi="宋体"/>
                <w:color w:val="000000"/>
                <w:sz w:val="22"/>
                <w:szCs w:val="22"/>
              </w:rPr>
              <w:t>（2）合并单元</w:t>
            </w:r>
          </w:p>
          <w:p>
            <w:pPr>
              <w:widowControl/>
              <w:jc w:val="left"/>
              <w:rPr>
                <w:rFonts w:ascii="宋体" w:hAnsi="宋体"/>
                <w:color w:val="000000"/>
                <w:sz w:val="22"/>
                <w:szCs w:val="22"/>
              </w:rPr>
            </w:pPr>
            <w:r>
              <w:rPr>
                <w:rFonts w:hint="eastAsia" w:ascii="宋体" w:hAnsi="宋体"/>
                <w:color w:val="000000"/>
                <w:sz w:val="22"/>
                <w:szCs w:val="22"/>
              </w:rPr>
              <w:t>（3）过程层交换机</w:t>
            </w:r>
          </w:p>
          <w:p>
            <w:pPr>
              <w:widowControl/>
              <w:jc w:val="left"/>
              <w:rPr>
                <w:rFonts w:ascii="宋体" w:hAnsi="宋体"/>
                <w:color w:val="000000"/>
                <w:sz w:val="22"/>
                <w:szCs w:val="22"/>
              </w:rPr>
            </w:pPr>
            <w:r>
              <w:rPr>
                <w:rFonts w:hint="eastAsia" w:ascii="宋体" w:hAnsi="宋体"/>
                <w:color w:val="000000"/>
                <w:sz w:val="22"/>
                <w:szCs w:val="22"/>
              </w:rPr>
              <w:t>（4）IED（保护测控装置等）</w:t>
            </w:r>
          </w:p>
          <w:p>
            <w:pPr>
              <w:widowControl/>
              <w:jc w:val="left"/>
              <w:rPr>
                <w:rFonts w:ascii="宋体" w:hAnsi="宋体"/>
                <w:color w:val="000000"/>
                <w:sz w:val="22"/>
                <w:szCs w:val="22"/>
              </w:rPr>
            </w:pPr>
            <w:r>
              <w:rPr>
                <w:rFonts w:hint="eastAsia" w:ascii="宋体" w:hAnsi="宋体"/>
                <w:color w:val="000000"/>
                <w:sz w:val="22"/>
                <w:szCs w:val="22"/>
              </w:rPr>
              <w:t>（5）装置配置图</w:t>
            </w:r>
          </w:p>
          <w:p>
            <w:pPr>
              <w:widowControl/>
              <w:jc w:val="left"/>
              <w:rPr>
                <w:rFonts w:ascii="宋体" w:hAnsi="宋体"/>
                <w:color w:val="000000"/>
                <w:sz w:val="22"/>
                <w:szCs w:val="22"/>
              </w:rPr>
            </w:pPr>
            <w:r>
              <w:rPr>
                <w:rFonts w:hint="eastAsia" w:ascii="宋体" w:hAnsi="宋体"/>
                <w:color w:val="000000"/>
                <w:sz w:val="22"/>
                <w:szCs w:val="22"/>
              </w:rPr>
              <w:t>（6）智能站保护配置</w:t>
            </w:r>
          </w:p>
          <w:p>
            <w:pPr>
              <w:widowControl/>
              <w:jc w:val="left"/>
              <w:rPr>
                <w:rFonts w:ascii="宋体" w:hAnsi="宋体"/>
                <w:color w:val="000000"/>
                <w:sz w:val="22"/>
                <w:szCs w:val="22"/>
              </w:rPr>
            </w:pPr>
            <w:r>
              <w:rPr>
                <w:rFonts w:hint="eastAsia" w:ascii="宋体" w:hAnsi="宋体"/>
                <w:color w:val="000000"/>
                <w:sz w:val="22"/>
                <w:szCs w:val="22"/>
              </w:rPr>
              <w:t>（7）过程层组网方式</w:t>
            </w:r>
          </w:p>
          <w:p>
            <w:pPr>
              <w:widowControl/>
              <w:jc w:val="left"/>
              <w:rPr>
                <w:rFonts w:ascii="宋体" w:hAnsi="宋体"/>
                <w:color w:val="000000"/>
                <w:sz w:val="22"/>
                <w:szCs w:val="22"/>
              </w:rPr>
            </w:pPr>
            <w:r>
              <w:rPr>
                <w:rFonts w:hint="eastAsia" w:ascii="宋体" w:hAnsi="宋体"/>
                <w:color w:val="000000"/>
                <w:sz w:val="22"/>
                <w:szCs w:val="22"/>
              </w:rPr>
              <w:t>（8）智能站保护采样及跳闸</w:t>
            </w:r>
          </w:p>
          <w:p>
            <w:pPr>
              <w:widowControl/>
              <w:jc w:val="left"/>
              <w:rPr>
                <w:rFonts w:ascii="宋体" w:hAnsi="宋体"/>
                <w:color w:val="000000"/>
                <w:sz w:val="22"/>
                <w:szCs w:val="22"/>
              </w:rPr>
            </w:pPr>
            <w:r>
              <w:rPr>
                <w:rFonts w:hint="eastAsia" w:ascii="宋体" w:hAnsi="宋体"/>
                <w:color w:val="000000"/>
                <w:sz w:val="22"/>
                <w:szCs w:val="22"/>
              </w:rPr>
              <w:t>（9）典型方案</w:t>
            </w:r>
          </w:p>
          <w:p>
            <w:pPr>
              <w:widowControl/>
              <w:jc w:val="left"/>
              <w:rPr>
                <w:rFonts w:ascii="宋体" w:hAnsi="宋体"/>
                <w:color w:val="000000"/>
                <w:sz w:val="22"/>
                <w:szCs w:val="22"/>
              </w:rPr>
            </w:pPr>
            <w:r>
              <w:rPr>
                <w:rFonts w:hint="eastAsia" w:ascii="宋体" w:hAnsi="宋体"/>
                <w:color w:val="000000"/>
                <w:sz w:val="22"/>
                <w:szCs w:val="22"/>
              </w:rPr>
              <w:t>3.智能站与常规站的区别</w:t>
            </w:r>
          </w:p>
          <w:p>
            <w:pPr>
              <w:widowControl/>
              <w:jc w:val="left"/>
              <w:rPr>
                <w:rFonts w:ascii="宋体" w:hAnsi="宋体"/>
                <w:color w:val="000000"/>
                <w:sz w:val="22"/>
                <w:szCs w:val="22"/>
              </w:rPr>
            </w:pPr>
            <w:r>
              <w:rPr>
                <w:rFonts w:hint="eastAsia" w:ascii="宋体" w:hAnsi="宋体"/>
                <w:color w:val="000000"/>
                <w:sz w:val="22"/>
                <w:szCs w:val="22"/>
              </w:rPr>
              <w:t>（1）设备间信息传输载体区别</w:t>
            </w:r>
          </w:p>
          <w:p>
            <w:pPr>
              <w:widowControl/>
              <w:jc w:val="left"/>
              <w:rPr>
                <w:rFonts w:ascii="宋体" w:hAnsi="宋体"/>
                <w:color w:val="000000"/>
                <w:sz w:val="22"/>
                <w:szCs w:val="22"/>
              </w:rPr>
            </w:pPr>
            <w:r>
              <w:rPr>
                <w:rFonts w:hint="eastAsia" w:ascii="宋体" w:hAnsi="宋体"/>
                <w:color w:val="000000"/>
                <w:sz w:val="22"/>
                <w:szCs w:val="22"/>
              </w:rPr>
              <w:t>（2）图纸表达方式区别</w:t>
            </w:r>
          </w:p>
          <w:p>
            <w:pPr>
              <w:widowControl/>
              <w:jc w:val="left"/>
              <w:rPr>
                <w:rFonts w:ascii="宋体" w:hAnsi="宋体"/>
                <w:color w:val="000000"/>
                <w:sz w:val="22"/>
                <w:szCs w:val="22"/>
              </w:rPr>
            </w:pPr>
            <w:r>
              <w:rPr>
                <w:rFonts w:hint="eastAsia" w:ascii="宋体" w:hAnsi="宋体"/>
                <w:color w:val="000000"/>
                <w:sz w:val="22"/>
                <w:szCs w:val="22"/>
              </w:rPr>
              <w:t>4.智能站设备的运行维护</w:t>
            </w:r>
          </w:p>
          <w:p>
            <w:pPr>
              <w:widowControl/>
              <w:jc w:val="left"/>
              <w:rPr>
                <w:rFonts w:ascii="宋体" w:hAnsi="宋体"/>
                <w:color w:val="000000"/>
                <w:sz w:val="22"/>
                <w:szCs w:val="22"/>
              </w:rPr>
            </w:pPr>
            <w:r>
              <w:rPr>
                <w:rFonts w:hint="eastAsia" w:ascii="宋体" w:hAnsi="宋体"/>
                <w:color w:val="000000"/>
                <w:sz w:val="22"/>
                <w:szCs w:val="22"/>
              </w:rPr>
              <w:t>（1）链路状态图</w:t>
            </w:r>
          </w:p>
          <w:p>
            <w:pPr>
              <w:widowControl/>
              <w:jc w:val="left"/>
              <w:rPr>
                <w:rFonts w:ascii="宋体" w:hAnsi="宋体"/>
                <w:color w:val="000000"/>
                <w:sz w:val="22"/>
                <w:szCs w:val="22"/>
              </w:rPr>
            </w:pPr>
            <w:r>
              <w:rPr>
                <w:rFonts w:hint="eastAsia" w:ascii="宋体" w:hAnsi="宋体"/>
                <w:color w:val="000000"/>
                <w:sz w:val="22"/>
                <w:szCs w:val="22"/>
              </w:rPr>
              <w:t>（2）智能站压板</w:t>
            </w:r>
          </w:p>
          <w:p>
            <w:pPr>
              <w:widowControl/>
              <w:jc w:val="left"/>
              <w:rPr>
                <w:rFonts w:ascii="宋体" w:hAnsi="宋体"/>
                <w:color w:val="000000"/>
                <w:sz w:val="22"/>
                <w:szCs w:val="22"/>
              </w:rPr>
            </w:pPr>
            <w:r>
              <w:rPr>
                <w:rFonts w:hint="eastAsia" w:ascii="宋体" w:hAnsi="宋体"/>
                <w:color w:val="000000"/>
                <w:sz w:val="22"/>
                <w:szCs w:val="22"/>
              </w:rPr>
              <w:t>（3）智能站保护状态</w:t>
            </w:r>
          </w:p>
          <w:p>
            <w:pPr>
              <w:widowControl/>
              <w:jc w:val="left"/>
              <w:rPr>
                <w:rFonts w:ascii="宋体" w:hAnsi="宋体"/>
                <w:color w:val="000000"/>
                <w:sz w:val="22"/>
                <w:szCs w:val="22"/>
              </w:rPr>
            </w:pPr>
            <w:r>
              <w:rPr>
                <w:rFonts w:hint="eastAsia" w:ascii="宋体" w:hAnsi="宋体"/>
                <w:color w:val="000000"/>
                <w:sz w:val="22"/>
                <w:szCs w:val="22"/>
              </w:rPr>
              <w:t>（4）智能站检修机制</w:t>
            </w:r>
          </w:p>
          <w:p>
            <w:pPr>
              <w:widowControl/>
              <w:jc w:val="left"/>
              <w:rPr>
                <w:rFonts w:ascii="宋体" w:hAnsi="宋体"/>
                <w:color w:val="000000"/>
                <w:sz w:val="22"/>
                <w:szCs w:val="22"/>
              </w:rPr>
            </w:pPr>
            <w:r>
              <w:rPr>
                <w:rFonts w:hint="eastAsia" w:ascii="宋体" w:hAnsi="宋体"/>
                <w:color w:val="000000"/>
                <w:sz w:val="22"/>
                <w:szCs w:val="22"/>
              </w:rPr>
              <w:t>（5）报文检修处理机制</w:t>
            </w:r>
          </w:p>
          <w:p>
            <w:pPr>
              <w:widowControl/>
              <w:jc w:val="left"/>
              <w:rPr>
                <w:rFonts w:ascii="宋体" w:hAnsi="宋体"/>
                <w:color w:val="000000"/>
                <w:sz w:val="22"/>
                <w:szCs w:val="22"/>
              </w:rPr>
            </w:pPr>
            <w:r>
              <w:rPr>
                <w:rFonts w:hint="eastAsia" w:ascii="宋体" w:hAnsi="宋体"/>
                <w:color w:val="000000"/>
                <w:sz w:val="22"/>
                <w:szCs w:val="22"/>
              </w:rPr>
              <w:t>（6）检修硬压板操作原则</w:t>
            </w:r>
          </w:p>
          <w:p>
            <w:pPr>
              <w:widowControl/>
              <w:jc w:val="left"/>
              <w:rPr>
                <w:rFonts w:ascii="宋体" w:hAnsi="宋体"/>
                <w:color w:val="000000"/>
                <w:sz w:val="22"/>
                <w:szCs w:val="22"/>
              </w:rPr>
            </w:pPr>
            <w:r>
              <w:rPr>
                <w:rFonts w:hint="eastAsia" w:ascii="宋体" w:hAnsi="宋体"/>
                <w:color w:val="000000"/>
                <w:sz w:val="22"/>
                <w:szCs w:val="22"/>
              </w:rPr>
              <w:t>（7）检修硬压板操作注意事项</w:t>
            </w:r>
          </w:p>
          <w:p>
            <w:pPr>
              <w:widowControl/>
              <w:jc w:val="left"/>
              <w:rPr>
                <w:rFonts w:ascii="宋体" w:hAnsi="宋体"/>
                <w:color w:val="000000"/>
                <w:sz w:val="22"/>
                <w:szCs w:val="22"/>
              </w:rPr>
            </w:pPr>
            <w:r>
              <w:rPr>
                <w:rFonts w:hint="eastAsia" w:ascii="宋体" w:hAnsi="宋体"/>
                <w:color w:val="000000"/>
                <w:sz w:val="22"/>
                <w:szCs w:val="22"/>
              </w:rPr>
              <w:t>（8）压板操作顺序</w:t>
            </w:r>
          </w:p>
          <w:p>
            <w:pPr>
              <w:widowControl/>
              <w:jc w:val="left"/>
              <w:rPr>
                <w:rFonts w:ascii="宋体" w:hAnsi="宋体"/>
                <w:color w:val="000000"/>
                <w:sz w:val="22"/>
                <w:szCs w:val="22"/>
              </w:rPr>
            </w:pPr>
            <w:r>
              <w:rPr>
                <w:rFonts w:hint="eastAsia" w:ascii="宋体" w:hAnsi="宋体"/>
                <w:color w:val="000000"/>
                <w:sz w:val="22"/>
                <w:szCs w:val="22"/>
              </w:rPr>
              <w:t>（9）异常处理</w:t>
            </w:r>
          </w:p>
          <w:p>
            <w:pPr>
              <w:widowControl/>
              <w:jc w:val="left"/>
              <w:rPr>
                <w:rFonts w:ascii="宋体" w:hAnsi="宋体"/>
                <w:color w:val="000000"/>
                <w:sz w:val="22"/>
                <w:szCs w:val="22"/>
              </w:rPr>
            </w:pPr>
            <w:r>
              <w:rPr>
                <w:rFonts w:hint="eastAsia" w:ascii="宋体" w:hAnsi="宋体"/>
                <w:color w:val="000000"/>
                <w:sz w:val="22"/>
                <w:szCs w:val="22"/>
              </w:rPr>
              <w:t>5.基本运行</w:t>
            </w:r>
          </w:p>
          <w:p>
            <w:pPr>
              <w:widowControl/>
              <w:jc w:val="left"/>
              <w:rPr>
                <w:rFonts w:ascii="宋体" w:hAnsi="宋体"/>
                <w:color w:val="000000"/>
                <w:sz w:val="22"/>
                <w:szCs w:val="22"/>
              </w:rPr>
            </w:pPr>
            <w:r>
              <w:rPr>
                <w:rFonts w:hint="eastAsia" w:ascii="宋体" w:hAnsi="宋体"/>
                <w:color w:val="000000"/>
                <w:sz w:val="22"/>
                <w:szCs w:val="22"/>
              </w:rPr>
              <w:t>（1）电网和智能变电站设备</w:t>
            </w:r>
          </w:p>
          <w:p>
            <w:pPr>
              <w:widowControl/>
              <w:jc w:val="left"/>
              <w:rPr>
                <w:rFonts w:ascii="宋体" w:hAnsi="宋体"/>
                <w:color w:val="000000"/>
                <w:sz w:val="22"/>
                <w:szCs w:val="22"/>
              </w:rPr>
            </w:pPr>
            <w:r>
              <w:rPr>
                <w:rFonts w:hint="eastAsia" w:ascii="宋体" w:hAnsi="宋体"/>
                <w:color w:val="000000"/>
                <w:sz w:val="22"/>
                <w:szCs w:val="22"/>
              </w:rPr>
              <w:t>（2）智能变电站监控系统</w:t>
            </w:r>
          </w:p>
          <w:p>
            <w:pPr>
              <w:widowControl/>
              <w:jc w:val="left"/>
              <w:rPr>
                <w:rFonts w:ascii="宋体" w:hAnsi="宋体"/>
                <w:color w:val="000000"/>
                <w:sz w:val="22"/>
                <w:szCs w:val="22"/>
              </w:rPr>
            </w:pPr>
            <w:r>
              <w:rPr>
                <w:rFonts w:hint="eastAsia" w:ascii="宋体" w:hAnsi="宋体"/>
                <w:color w:val="000000"/>
                <w:sz w:val="22"/>
                <w:szCs w:val="22"/>
              </w:rPr>
              <w:t>（3）电网结构</w:t>
            </w:r>
          </w:p>
          <w:p>
            <w:pPr>
              <w:widowControl/>
              <w:jc w:val="left"/>
              <w:rPr>
                <w:rFonts w:ascii="宋体" w:hAnsi="宋体"/>
                <w:color w:val="000000"/>
                <w:sz w:val="22"/>
                <w:szCs w:val="22"/>
              </w:rPr>
            </w:pPr>
            <w:r>
              <w:rPr>
                <w:rFonts w:hint="eastAsia" w:ascii="宋体" w:hAnsi="宋体"/>
                <w:color w:val="000000"/>
                <w:sz w:val="22"/>
                <w:szCs w:val="22"/>
              </w:rPr>
              <w:t>（4）电网潮流</w:t>
            </w:r>
          </w:p>
          <w:p>
            <w:pPr>
              <w:widowControl/>
              <w:jc w:val="left"/>
              <w:rPr>
                <w:rFonts w:ascii="宋体" w:hAnsi="宋体"/>
                <w:color w:val="000000"/>
                <w:sz w:val="22"/>
                <w:szCs w:val="22"/>
              </w:rPr>
            </w:pPr>
            <w:r>
              <w:rPr>
                <w:rFonts w:hint="eastAsia" w:ascii="宋体" w:hAnsi="宋体"/>
                <w:color w:val="000000"/>
                <w:sz w:val="22"/>
                <w:szCs w:val="22"/>
              </w:rPr>
              <w:t>6.电网及智能变电站运行</w:t>
            </w:r>
          </w:p>
          <w:p>
            <w:pPr>
              <w:widowControl/>
              <w:jc w:val="left"/>
              <w:rPr>
                <w:rFonts w:ascii="宋体" w:hAnsi="宋体"/>
                <w:color w:val="000000"/>
                <w:sz w:val="22"/>
                <w:szCs w:val="22"/>
              </w:rPr>
            </w:pPr>
            <w:r>
              <w:rPr>
                <w:rFonts w:hint="eastAsia" w:ascii="宋体" w:hAnsi="宋体"/>
                <w:color w:val="000000"/>
                <w:sz w:val="22"/>
                <w:szCs w:val="22"/>
              </w:rPr>
              <w:t>（1）电网及智能变电站的现状</w:t>
            </w:r>
          </w:p>
          <w:p>
            <w:pPr>
              <w:widowControl/>
              <w:jc w:val="left"/>
              <w:rPr>
                <w:rFonts w:ascii="宋体" w:hAnsi="宋体"/>
                <w:color w:val="000000"/>
                <w:sz w:val="22"/>
                <w:szCs w:val="22"/>
              </w:rPr>
            </w:pPr>
            <w:r>
              <w:rPr>
                <w:rFonts w:hint="eastAsia" w:ascii="宋体" w:hAnsi="宋体"/>
                <w:color w:val="000000"/>
                <w:sz w:val="22"/>
                <w:szCs w:val="22"/>
              </w:rPr>
              <w:t>（2）电网及智能变电站运行方式、操作规程及运行特性</w:t>
            </w:r>
          </w:p>
          <w:p>
            <w:pPr>
              <w:widowControl/>
              <w:jc w:val="left"/>
              <w:rPr>
                <w:rFonts w:ascii="宋体" w:hAnsi="宋体"/>
                <w:color w:val="000000"/>
                <w:sz w:val="22"/>
                <w:szCs w:val="22"/>
              </w:rPr>
            </w:pPr>
            <w:r>
              <w:rPr>
                <w:rFonts w:hint="eastAsia" w:ascii="宋体" w:hAnsi="宋体"/>
                <w:color w:val="000000"/>
                <w:sz w:val="22"/>
                <w:szCs w:val="22"/>
              </w:rPr>
              <w:t>7.运行监视</w:t>
            </w:r>
          </w:p>
          <w:p>
            <w:pPr>
              <w:widowControl/>
              <w:jc w:val="left"/>
              <w:rPr>
                <w:rFonts w:ascii="宋体" w:hAnsi="宋体"/>
                <w:color w:val="000000"/>
                <w:sz w:val="22"/>
                <w:szCs w:val="22"/>
              </w:rPr>
            </w:pPr>
            <w:r>
              <w:rPr>
                <w:rFonts w:hint="eastAsia" w:ascii="宋体" w:hAnsi="宋体"/>
                <w:color w:val="000000"/>
                <w:sz w:val="22"/>
                <w:szCs w:val="22"/>
              </w:rPr>
              <w:t>（1）智能变电站一、二次系统的运行监视</w:t>
            </w:r>
          </w:p>
          <w:p>
            <w:pPr>
              <w:widowControl/>
              <w:jc w:val="left"/>
              <w:rPr>
                <w:rFonts w:ascii="宋体" w:hAnsi="宋体"/>
                <w:color w:val="000000"/>
                <w:sz w:val="22"/>
                <w:szCs w:val="22"/>
              </w:rPr>
            </w:pPr>
            <w:r>
              <w:rPr>
                <w:rFonts w:hint="eastAsia" w:ascii="宋体" w:hAnsi="宋体"/>
                <w:color w:val="000000"/>
                <w:sz w:val="22"/>
                <w:szCs w:val="22"/>
              </w:rPr>
              <w:t>（2）站用电系统的运行监视</w:t>
            </w:r>
          </w:p>
          <w:p>
            <w:pPr>
              <w:widowControl/>
              <w:jc w:val="left"/>
              <w:rPr>
                <w:rFonts w:ascii="宋体" w:hAnsi="宋体"/>
                <w:color w:val="000000"/>
                <w:sz w:val="22"/>
                <w:szCs w:val="22"/>
              </w:rPr>
            </w:pPr>
            <w:r>
              <w:rPr>
                <w:rFonts w:hint="eastAsia" w:ascii="宋体" w:hAnsi="宋体"/>
                <w:color w:val="000000"/>
                <w:sz w:val="22"/>
                <w:szCs w:val="22"/>
              </w:rPr>
              <w:t>8.正常操作</w:t>
            </w:r>
          </w:p>
          <w:p>
            <w:pPr>
              <w:widowControl/>
              <w:jc w:val="left"/>
              <w:rPr>
                <w:rFonts w:ascii="宋体" w:hAnsi="宋体"/>
                <w:color w:val="000000"/>
                <w:sz w:val="22"/>
                <w:szCs w:val="22"/>
              </w:rPr>
            </w:pPr>
            <w:r>
              <w:rPr>
                <w:rFonts w:hint="eastAsia" w:ascii="宋体" w:hAnsi="宋体"/>
                <w:color w:val="000000"/>
                <w:sz w:val="22"/>
                <w:szCs w:val="22"/>
              </w:rPr>
              <w:t>（1）主接线图及系统中全部一次设备及保护和自动装置</w:t>
            </w:r>
          </w:p>
          <w:p>
            <w:pPr>
              <w:widowControl/>
              <w:jc w:val="left"/>
              <w:rPr>
                <w:rFonts w:ascii="宋体" w:hAnsi="宋体"/>
                <w:color w:val="000000"/>
                <w:sz w:val="22"/>
                <w:szCs w:val="22"/>
              </w:rPr>
            </w:pPr>
            <w:r>
              <w:rPr>
                <w:rFonts w:hint="eastAsia" w:ascii="宋体" w:hAnsi="宋体"/>
                <w:color w:val="000000"/>
                <w:sz w:val="22"/>
                <w:szCs w:val="22"/>
              </w:rPr>
              <w:t>（2）站用电及系统的操作</w:t>
            </w:r>
          </w:p>
          <w:p>
            <w:pPr>
              <w:widowControl/>
              <w:jc w:val="left"/>
              <w:rPr>
                <w:rFonts w:ascii="宋体" w:hAnsi="宋体"/>
                <w:color w:val="000000"/>
                <w:sz w:val="22"/>
                <w:szCs w:val="22"/>
              </w:rPr>
            </w:pPr>
            <w:r>
              <w:rPr>
                <w:rFonts w:hint="eastAsia" w:ascii="宋体" w:hAnsi="宋体"/>
                <w:color w:val="000000"/>
                <w:sz w:val="22"/>
                <w:szCs w:val="22"/>
              </w:rPr>
              <w:t>（3）直流系统等设备的各种操作</w:t>
            </w:r>
          </w:p>
          <w:p>
            <w:pPr>
              <w:widowControl/>
              <w:jc w:val="left"/>
              <w:rPr>
                <w:rFonts w:ascii="宋体" w:hAnsi="宋体"/>
                <w:color w:val="000000"/>
                <w:sz w:val="22"/>
                <w:szCs w:val="22"/>
              </w:rPr>
            </w:pPr>
            <w:r>
              <w:rPr>
                <w:rFonts w:hint="eastAsia" w:ascii="宋体" w:hAnsi="宋体"/>
                <w:color w:val="000000"/>
                <w:sz w:val="22"/>
                <w:szCs w:val="22"/>
              </w:rPr>
              <w:t>（4）二次小开关、保险的分合</w:t>
            </w:r>
          </w:p>
          <w:p>
            <w:pPr>
              <w:widowControl/>
              <w:jc w:val="left"/>
              <w:rPr>
                <w:rFonts w:ascii="宋体" w:hAnsi="宋体"/>
                <w:color w:val="000000"/>
                <w:sz w:val="22"/>
                <w:szCs w:val="22"/>
              </w:rPr>
            </w:pPr>
            <w:r>
              <w:rPr>
                <w:rFonts w:hint="eastAsia" w:ascii="宋体" w:hAnsi="宋体"/>
                <w:color w:val="000000"/>
                <w:sz w:val="22"/>
                <w:szCs w:val="22"/>
              </w:rPr>
              <w:t>（5）验电操作</w:t>
            </w:r>
          </w:p>
          <w:p>
            <w:pPr>
              <w:widowControl/>
              <w:jc w:val="left"/>
              <w:rPr>
                <w:rFonts w:ascii="宋体" w:hAnsi="宋体"/>
                <w:color w:val="000000"/>
                <w:sz w:val="22"/>
                <w:szCs w:val="22"/>
              </w:rPr>
            </w:pPr>
            <w:r>
              <w:rPr>
                <w:rFonts w:hint="eastAsia" w:ascii="宋体" w:hAnsi="宋体"/>
                <w:color w:val="000000"/>
                <w:sz w:val="22"/>
                <w:szCs w:val="22"/>
              </w:rPr>
              <w:t>9.异常处理</w:t>
            </w:r>
          </w:p>
          <w:p>
            <w:pPr>
              <w:widowControl/>
              <w:jc w:val="left"/>
              <w:rPr>
                <w:rFonts w:ascii="宋体" w:hAnsi="宋体"/>
                <w:color w:val="000000"/>
                <w:sz w:val="22"/>
                <w:szCs w:val="22"/>
              </w:rPr>
            </w:pPr>
            <w:r>
              <w:rPr>
                <w:rFonts w:hint="eastAsia" w:ascii="宋体" w:hAnsi="宋体"/>
                <w:color w:val="000000"/>
                <w:sz w:val="22"/>
                <w:szCs w:val="22"/>
              </w:rPr>
              <w:t>（1）在运行中自然发生的异常</w:t>
            </w:r>
          </w:p>
          <w:p>
            <w:pPr>
              <w:widowControl/>
              <w:jc w:val="left"/>
              <w:rPr>
                <w:rFonts w:ascii="宋体" w:hAnsi="宋体"/>
                <w:color w:val="000000"/>
                <w:sz w:val="22"/>
                <w:szCs w:val="22"/>
              </w:rPr>
            </w:pPr>
            <w:r>
              <w:rPr>
                <w:rFonts w:hint="eastAsia" w:ascii="宋体" w:hAnsi="宋体"/>
                <w:color w:val="000000"/>
                <w:sz w:val="22"/>
                <w:szCs w:val="22"/>
              </w:rPr>
              <w:t>①变压器过负荷</w:t>
            </w:r>
          </w:p>
          <w:p>
            <w:pPr>
              <w:widowControl/>
              <w:jc w:val="left"/>
              <w:rPr>
                <w:rFonts w:ascii="宋体" w:hAnsi="宋体"/>
                <w:color w:val="000000"/>
                <w:sz w:val="22"/>
                <w:szCs w:val="22"/>
              </w:rPr>
            </w:pPr>
            <w:r>
              <w:rPr>
                <w:rFonts w:hint="eastAsia" w:ascii="宋体" w:hAnsi="宋体"/>
                <w:color w:val="000000"/>
                <w:sz w:val="22"/>
                <w:szCs w:val="22"/>
              </w:rPr>
              <w:t>②变压器油温超过允许值</w:t>
            </w:r>
          </w:p>
          <w:p>
            <w:pPr>
              <w:widowControl/>
              <w:jc w:val="left"/>
              <w:rPr>
                <w:rFonts w:ascii="宋体" w:hAnsi="宋体"/>
                <w:color w:val="000000"/>
                <w:sz w:val="22"/>
                <w:szCs w:val="22"/>
              </w:rPr>
            </w:pPr>
            <w:r>
              <w:rPr>
                <w:rFonts w:hint="eastAsia" w:ascii="宋体" w:hAnsi="宋体"/>
                <w:color w:val="000000"/>
                <w:sz w:val="22"/>
                <w:szCs w:val="22"/>
              </w:rPr>
              <w:t>③电源消失</w:t>
            </w:r>
          </w:p>
          <w:p>
            <w:pPr>
              <w:widowControl/>
              <w:jc w:val="left"/>
              <w:rPr>
                <w:rFonts w:ascii="宋体" w:hAnsi="宋体"/>
                <w:color w:val="000000"/>
                <w:sz w:val="22"/>
                <w:szCs w:val="22"/>
              </w:rPr>
            </w:pPr>
            <w:r>
              <w:rPr>
                <w:rFonts w:hint="eastAsia" w:ascii="宋体" w:hAnsi="宋体"/>
                <w:color w:val="000000"/>
                <w:sz w:val="22"/>
                <w:szCs w:val="22"/>
              </w:rPr>
              <w:t>（2）需要设置的异常</w:t>
            </w:r>
          </w:p>
          <w:p>
            <w:pPr>
              <w:widowControl/>
              <w:jc w:val="left"/>
              <w:rPr>
                <w:rFonts w:ascii="宋体" w:hAnsi="宋体"/>
                <w:color w:val="000000"/>
                <w:sz w:val="22"/>
                <w:szCs w:val="22"/>
              </w:rPr>
            </w:pPr>
            <w:r>
              <w:rPr>
                <w:rFonts w:hint="eastAsia" w:ascii="宋体" w:hAnsi="宋体"/>
                <w:color w:val="000000"/>
                <w:sz w:val="22"/>
                <w:szCs w:val="22"/>
              </w:rPr>
              <w:t>①变压器漏油</w:t>
            </w:r>
          </w:p>
          <w:p>
            <w:pPr>
              <w:widowControl/>
              <w:jc w:val="left"/>
              <w:rPr>
                <w:rFonts w:ascii="宋体" w:hAnsi="宋体"/>
                <w:color w:val="000000"/>
                <w:sz w:val="22"/>
                <w:szCs w:val="22"/>
              </w:rPr>
            </w:pPr>
            <w:r>
              <w:rPr>
                <w:rFonts w:hint="eastAsia" w:ascii="宋体" w:hAnsi="宋体"/>
                <w:color w:val="000000"/>
                <w:sz w:val="22"/>
                <w:szCs w:val="22"/>
              </w:rPr>
              <w:t>②变压器匝间轻微短路</w:t>
            </w:r>
          </w:p>
          <w:p>
            <w:pPr>
              <w:widowControl/>
              <w:jc w:val="left"/>
              <w:rPr>
                <w:rFonts w:ascii="宋体" w:hAnsi="宋体"/>
                <w:color w:val="000000"/>
                <w:sz w:val="22"/>
                <w:szCs w:val="22"/>
              </w:rPr>
            </w:pPr>
            <w:r>
              <w:rPr>
                <w:rFonts w:hint="eastAsia" w:ascii="宋体" w:hAnsi="宋体"/>
                <w:color w:val="000000"/>
                <w:sz w:val="22"/>
                <w:szCs w:val="22"/>
              </w:rPr>
              <w:t>③PT断线</w:t>
            </w:r>
          </w:p>
          <w:p>
            <w:pPr>
              <w:widowControl/>
              <w:jc w:val="left"/>
              <w:rPr>
                <w:rFonts w:ascii="宋体" w:hAnsi="宋体"/>
                <w:color w:val="000000"/>
                <w:sz w:val="22"/>
                <w:szCs w:val="22"/>
              </w:rPr>
            </w:pPr>
            <w:r>
              <w:rPr>
                <w:rFonts w:hint="eastAsia" w:ascii="宋体" w:hAnsi="宋体"/>
                <w:color w:val="000000"/>
                <w:sz w:val="22"/>
                <w:szCs w:val="22"/>
              </w:rPr>
              <w:t>10.事故分析及处理</w:t>
            </w:r>
          </w:p>
          <w:p>
            <w:pPr>
              <w:widowControl/>
              <w:jc w:val="left"/>
              <w:rPr>
                <w:rFonts w:ascii="宋体" w:hAnsi="宋体"/>
                <w:color w:val="000000"/>
                <w:sz w:val="22"/>
                <w:szCs w:val="22"/>
              </w:rPr>
            </w:pPr>
            <w:r>
              <w:rPr>
                <w:rFonts w:hint="eastAsia" w:ascii="宋体" w:hAnsi="宋体"/>
                <w:color w:val="000000"/>
                <w:sz w:val="22"/>
                <w:szCs w:val="22"/>
              </w:rPr>
              <w:t>（1）开关、刀闸、变压器、母线、线路、电容器等各种设备及其相关的故障处理</w:t>
            </w:r>
          </w:p>
          <w:p>
            <w:pPr>
              <w:widowControl/>
              <w:jc w:val="left"/>
              <w:rPr>
                <w:rFonts w:ascii="宋体" w:hAnsi="宋体"/>
                <w:color w:val="000000"/>
                <w:sz w:val="22"/>
                <w:szCs w:val="22"/>
              </w:rPr>
            </w:pPr>
            <w:r>
              <w:rPr>
                <w:rFonts w:hint="eastAsia" w:ascii="宋体" w:hAnsi="宋体"/>
                <w:color w:val="000000"/>
                <w:sz w:val="22"/>
                <w:szCs w:val="22"/>
              </w:rPr>
              <w:t>（2）判断故障和处理故障</w:t>
            </w:r>
          </w:p>
          <w:p>
            <w:pPr>
              <w:widowControl/>
              <w:jc w:val="left"/>
              <w:rPr>
                <w:rFonts w:ascii="宋体" w:hAnsi="宋体"/>
                <w:color w:val="000000"/>
                <w:sz w:val="22"/>
                <w:szCs w:val="22"/>
              </w:rPr>
            </w:pPr>
            <w:r>
              <w:rPr>
                <w:rFonts w:hint="eastAsia" w:ascii="宋体" w:hAnsi="宋体"/>
                <w:color w:val="000000"/>
                <w:sz w:val="22"/>
                <w:szCs w:val="22"/>
              </w:rPr>
              <w:t>（3）事故分析</w:t>
            </w:r>
          </w:p>
          <w:p>
            <w:pPr>
              <w:widowControl/>
              <w:jc w:val="left"/>
              <w:rPr>
                <w:rFonts w:ascii="宋体" w:hAnsi="宋体"/>
                <w:color w:val="000000"/>
                <w:sz w:val="22"/>
                <w:szCs w:val="22"/>
              </w:rPr>
            </w:pPr>
            <w:r>
              <w:rPr>
                <w:rFonts w:hint="eastAsia" w:ascii="宋体" w:hAnsi="宋体"/>
                <w:color w:val="000000"/>
                <w:sz w:val="22"/>
                <w:szCs w:val="22"/>
              </w:rPr>
              <w:t>11</w:t>
            </w:r>
            <w:r>
              <w:rPr>
                <w:rFonts w:ascii="宋体" w:hAnsi="宋体"/>
                <w:color w:val="000000"/>
                <w:sz w:val="22"/>
                <w:szCs w:val="22"/>
              </w:rPr>
              <w:t>.</w:t>
            </w:r>
            <w:r>
              <w:rPr>
                <w:rFonts w:hint="eastAsia" w:ascii="宋体" w:hAnsi="宋体"/>
                <w:color w:val="000000"/>
                <w:sz w:val="22"/>
                <w:szCs w:val="22"/>
              </w:rPr>
              <w:t>提供与智能变电站配套的电子版本变电站运行规程、变电站典型操作票、使用手册等材料。</w:t>
            </w:r>
          </w:p>
          <w:p>
            <w:pPr>
              <w:widowControl/>
              <w:jc w:val="left"/>
              <w:rPr>
                <w:rFonts w:ascii="宋体" w:hAnsi="宋体"/>
                <w:color w:val="000000"/>
                <w:sz w:val="22"/>
                <w:szCs w:val="22"/>
              </w:rPr>
            </w:pPr>
            <w:r>
              <w:rPr>
                <w:rFonts w:hint="eastAsia" w:ascii="宋体" w:hAnsi="宋体"/>
                <w:color w:val="000000"/>
                <w:sz w:val="22"/>
                <w:szCs w:val="22"/>
              </w:rPr>
              <w:t>三、课程资源的内容设计符合课程标准、教学标准、人才培养方案等要求，课程架构符合国家资源共享课标准，能够满足课程的基本阅读和学习需求；素材的采集和制作不出现侵权和政治问题。</w:t>
            </w:r>
          </w:p>
          <w:p>
            <w:pPr>
              <w:widowControl/>
              <w:jc w:val="left"/>
              <w:rPr>
                <w:rFonts w:ascii="宋体" w:hAnsi="宋体"/>
                <w:color w:val="000000"/>
                <w:sz w:val="22"/>
                <w:szCs w:val="22"/>
              </w:rPr>
            </w:pPr>
            <w:r>
              <w:rPr>
                <w:rFonts w:hint="eastAsia" w:ascii="宋体" w:hAnsi="宋体"/>
                <w:color w:val="000000"/>
                <w:sz w:val="22"/>
                <w:szCs w:val="22"/>
              </w:rPr>
              <w:t>四、课程所有资源版权均为甲方所有。</w:t>
            </w:r>
          </w:p>
        </w:tc>
        <w:tc>
          <w:tcPr>
            <w:tcW w:w="1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项</w:t>
            </w:r>
          </w:p>
        </w:tc>
        <w:tc>
          <w:tcPr>
            <w:tcW w:w="1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1</w:t>
            </w:r>
          </w:p>
        </w:tc>
        <w:tc>
          <w:tcPr>
            <w:tcW w:w="39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olor w:val="000000"/>
                <w:sz w:val="22"/>
                <w:szCs w:val="22"/>
                <w:lang w:val="en-US" w:eastAsia="zh-CN"/>
              </w:rPr>
            </w:pPr>
            <w:r>
              <w:rPr>
                <w:rFonts w:hint="eastAsia" w:ascii="宋体" w:hAnsi="宋体"/>
                <w:color w:val="000000"/>
                <w:sz w:val="22"/>
                <w:szCs w:val="22"/>
                <w:lang w:val="en-US" w:eastAsia="zh-CN"/>
              </w:rPr>
              <w:t>6.8341</w:t>
            </w:r>
          </w:p>
        </w:tc>
        <w:tc>
          <w:tcPr>
            <w:tcW w:w="46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r>
              <w:rPr>
                <w:rFonts w:hint="eastAsia" w:ascii="宋体" w:hAnsi="宋体"/>
                <w:color w:val="000000"/>
                <w:sz w:val="22"/>
                <w:szCs w:val="22"/>
              </w:rPr>
              <w:t>否</w:t>
            </w:r>
          </w:p>
        </w:tc>
        <w:tc>
          <w:tcPr>
            <w:tcW w:w="47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sz w:val="22"/>
                <w:szCs w:val="22"/>
                <w:lang w:val="en-US" w:eastAsia="zh-CN"/>
              </w:rPr>
            </w:pPr>
            <w:r>
              <w:rPr>
                <w:rFonts w:hint="eastAsia" w:ascii="宋体" w:hAnsi="宋体"/>
                <w:color w:val="000000"/>
                <w:sz w:val="22"/>
                <w:szCs w:val="22"/>
                <w:lang w:val="en-US" w:eastAsia="zh-CN"/>
              </w:rPr>
              <w:t>4</w:t>
            </w:r>
          </w:p>
        </w:tc>
        <w:tc>
          <w:tcPr>
            <w:tcW w:w="2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机房管理软件</w:t>
            </w:r>
          </w:p>
        </w:tc>
        <w:tc>
          <w:tcPr>
            <w:tcW w:w="2873"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1.支持B /S管理架构，可通过移动设备通过网页方式对机房进行远程管理，包括远程开关机、时间同步、系统切换、消息广播等操作(提供功能界面截图并加盖原厂公章)；</w:t>
            </w:r>
            <w:r>
              <w:rPr>
                <w:rFonts w:hint="eastAsia" w:ascii="宋体" w:hAnsi="宋体" w:cs="宋体"/>
                <w:color w:val="000000"/>
                <w:sz w:val="22"/>
                <w:szCs w:val="22"/>
              </w:rPr>
              <w:br w:type="textWrapping"/>
            </w:r>
            <w:r>
              <w:rPr>
                <w:rFonts w:hint="eastAsia" w:ascii="宋体" w:hAnsi="宋体" w:cs="宋体"/>
                <w:color w:val="000000"/>
                <w:sz w:val="22"/>
                <w:szCs w:val="22"/>
              </w:rPr>
              <w:t>2.支持对Ubuntu、Redhat、Centos、Fedora等系统的立即还原和ip地址自动分配；</w:t>
            </w:r>
            <w:r>
              <w:rPr>
                <w:rFonts w:hint="eastAsia" w:ascii="宋体" w:hAnsi="宋体" w:cs="宋体"/>
                <w:color w:val="000000"/>
                <w:sz w:val="22"/>
                <w:szCs w:val="22"/>
              </w:rPr>
              <w:br w:type="textWrapping"/>
            </w:r>
            <w:r>
              <w:rPr>
                <w:rFonts w:hint="eastAsia" w:ascii="宋体" w:hAnsi="宋体" w:cs="宋体"/>
                <w:color w:val="000000"/>
                <w:sz w:val="22"/>
                <w:szCs w:val="22"/>
              </w:rPr>
              <w:t>3.支持电脑本地硬盘操作系统（win10\linux）的立即还原和还原点瞬间创建(提供功能界面截图并加盖原厂公章)；</w:t>
            </w:r>
            <w:r>
              <w:rPr>
                <w:rFonts w:hint="eastAsia" w:ascii="宋体" w:hAnsi="宋体" w:cs="宋体"/>
                <w:color w:val="000000"/>
                <w:sz w:val="22"/>
                <w:szCs w:val="22"/>
              </w:rPr>
              <w:br w:type="textWrapping"/>
            </w:r>
            <w:r>
              <w:rPr>
                <w:rFonts w:hint="eastAsia" w:ascii="宋体" w:hAnsi="宋体" w:cs="宋体"/>
                <w:color w:val="000000"/>
                <w:sz w:val="22"/>
                <w:szCs w:val="22"/>
              </w:rPr>
              <w:t>4.支持MBR分区系统和GPT分区系统混合安装,可支持60个以上的不同操作系统；</w:t>
            </w:r>
            <w:r>
              <w:rPr>
                <w:rFonts w:hint="eastAsia" w:ascii="宋体" w:hAnsi="宋体" w:cs="宋体"/>
                <w:color w:val="000000"/>
                <w:sz w:val="22"/>
                <w:szCs w:val="22"/>
              </w:rPr>
              <w:br w:type="textWrapping"/>
            </w:r>
            <w:r>
              <w:rPr>
                <w:rFonts w:hint="eastAsia" w:ascii="宋体" w:hAnsi="宋体" w:cs="宋体"/>
                <w:color w:val="000000"/>
                <w:sz w:val="22"/>
                <w:szCs w:val="22"/>
              </w:rPr>
              <w:t>5.支持SSD硬盘和机械硬盘双硬盘保护模式和同传(提供功能界面截图并加盖原厂公章)；</w:t>
            </w:r>
            <w:r>
              <w:rPr>
                <w:rFonts w:hint="eastAsia" w:ascii="宋体" w:hAnsi="宋体" w:cs="宋体"/>
                <w:color w:val="000000"/>
                <w:sz w:val="22"/>
                <w:szCs w:val="22"/>
              </w:rPr>
              <w:br w:type="textWrapping"/>
            </w:r>
            <w:r>
              <w:rPr>
                <w:rFonts w:hint="eastAsia" w:ascii="宋体" w:hAnsi="宋体" w:cs="宋体"/>
                <w:color w:val="000000"/>
                <w:sz w:val="22"/>
                <w:szCs w:val="22"/>
              </w:rPr>
              <w:t>6.支持从WINDOWS界面对1000台以上的电脑进行数据差异拷贝，非增量拷贝、变量拷贝、进度同步等上一代部署方式。根据网络状况可选择广播、组播、单播等方式（提供支持600台机位的界面截图并加盖原厂公章）；</w:t>
            </w:r>
            <w:r>
              <w:rPr>
                <w:rFonts w:hint="eastAsia" w:ascii="宋体" w:hAnsi="宋体" w:cs="宋体"/>
                <w:color w:val="000000"/>
                <w:sz w:val="22"/>
                <w:szCs w:val="22"/>
              </w:rPr>
              <w:br w:type="textWrapping"/>
            </w:r>
            <w:r>
              <w:rPr>
                <w:rFonts w:hint="eastAsia" w:ascii="宋体" w:hAnsi="宋体" w:cs="宋体"/>
                <w:color w:val="000000"/>
                <w:sz w:val="22"/>
                <w:szCs w:val="22"/>
              </w:rPr>
              <w:t>7.支持操作系统分权管理，可分配不同的管理员管理不同的操作系统。(提供功能界面截图并加盖原厂公章)；</w:t>
            </w:r>
            <w:r>
              <w:rPr>
                <w:rFonts w:hint="eastAsia" w:ascii="宋体" w:hAnsi="宋体" w:cs="宋体"/>
                <w:color w:val="000000"/>
                <w:sz w:val="22"/>
                <w:szCs w:val="22"/>
              </w:rPr>
              <w:br w:type="textWrapping"/>
            </w:r>
            <w:r>
              <w:rPr>
                <w:rFonts w:hint="eastAsia" w:ascii="宋体" w:hAnsi="宋体" w:cs="宋体"/>
                <w:color w:val="000000"/>
                <w:sz w:val="22"/>
                <w:szCs w:val="22"/>
              </w:rPr>
              <w:t>8.支持学期课表的编辑，可设置学期开始和结束时间，按学期课表时间自动启动相应的操作系统，支持操作系统拖拽式导入学期课表(提供功能界面截图并加盖原厂公章)；</w:t>
            </w:r>
            <w:r>
              <w:rPr>
                <w:rFonts w:hint="eastAsia" w:ascii="宋体" w:hAnsi="宋体" w:cs="宋体"/>
                <w:color w:val="000000"/>
                <w:sz w:val="22"/>
                <w:szCs w:val="22"/>
              </w:rPr>
              <w:br w:type="textWrapping"/>
            </w:r>
            <w:r>
              <w:rPr>
                <w:rFonts w:hint="eastAsia" w:ascii="宋体" w:hAnsi="宋体" w:cs="宋体"/>
                <w:color w:val="000000"/>
                <w:sz w:val="22"/>
                <w:szCs w:val="22"/>
              </w:rPr>
              <w:t>9.管理员可给教师单独分配用户名和密码，教师可凭此用户名和密码在教学的电脑上瞬间创建自己独立的备课系统，其他人员不可见，也不影响正常的教学系统；</w:t>
            </w:r>
            <w:r>
              <w:rPr>
                <w:rFonts w:hint="eastAsia" w:ascii="宋体" w:hAnsi="宋体" w:cs="宋体"/>
                <w:color w:val="000000"/>
                <w:sz w:val="22"/>
                <w:szCs w:val="22"/>
              </w:rPr>
              <w:br w:type="textWrapping"/>
            </w:r>
            <w:r>
              <w:rPr>
                <w:rFonts w:hint="eastAsia" w:ascii="宋体" w:hAnsi="宋体" w:cs="宋体"/>
                <w:color w:val="000000"/>
                <w:sz w:val="22"/>
                <w:szCs w:val="22"/>
              </w:rPr>
              <w:t>10.支持将当前的教学系统，无需新增分区的情况下瞬间复制一个不保护的系统，用于学生自主实验或计算机等级考试；</w:t>
            </w:r>
            <w:r>
              <w:rPr>
                <w:rFonts w:hint="eastAsia" w:ascii="宋体" w:hAnsi="宋体" w:cs="宋体"/>
                <w:color w:val="000000"/>
                <w:sz w:val="22"/>
                <w:szCs w:val="22"/>
              </w:rPr>
              <w:br w:type="textWrapping"/>
            </w:r>
            <w:r>
              <w:rPr>
                <w:rFonts w:hint="eastAsia" w:ascii="宋体" w:hAnsi="宋体" w:cs="宋体"/>
                <w:color w:val="000000"/>
                <w:sz w:val="22"/>
                <w:szCs w:val="22"/>
              </w:rPr>
              <w:t>11.支持文件夹穿透，可在当前保护的分区下设定一个开放的文件夹,保存更新设置，重启分区还原其它数据还原，此文件夹中的数据不还原；</w:t>
            </w:r>
            <w:r>
              <w:rPr>
                <w:rFonts w:hint="eastAsia" w:ascii="宋体" w:hAnsi="宋体" w:cs="宋体"/>
                <w:color w:val="000000"/>
                <w:sz w:val="22"/>
                <w:szCs w:val="22"/>
              </w:rPr>
              <w:br w:type="textWrapping"/>
            </w:r>
            <w:r>
              <w:rPr>
                <w:rFonts w:hint="eastAsia" w:ascii="宋体" w:hAnsi="宋体" w:cs="宋体"/>
                <w:color w:val="000000"/>
                <w:sz w:val="22"/>
                <w:szCs w:val="22"/>
              </w:rPr>
              <w:t>12.支持硬件虚拟化功能，针对硬件识别码的软件可实现软件统一注册，大幅度降低激活软件带来的工作量；</w:t>
            </w:r>
            <w:r>
              <w:rPr>
                <w:rFonts w:hint="eastAsia" w:ascii="宋体" w:hAnsi="宋体" w:cs="宋体"/>
                <w:color w:val="000000"/>
                <w:sz w:val="22"/>
                <w:szCs w:val="22"/>
              </w:rPr>
              <w:br w:type="textWrapping"/>
            </w:r>
            <w:r>
              <w:rPr>
                <w:rFonts w:hint="eastAsia" w:ascii="宋体" w:hAnsi="宋体" w:cs="宋体"/>
                <w:color w:val="000000"/>
                <w:sz w:val="22"/>
                <w:szCs w:val="22"/>
              </w:rPr>
              <w:t>13.支持流量限制策略，能够设定上行流量、下行流量，并设置生效时间区间，能够精确到秒，支持按天执行、按周执行、按月执行根据不同的时间节点自动限定终端机不同的网络上行和下行流量(提供功能界面截图并加盖原厂公章)；</w:t>
            </w:r>
            <w:r>
              <w:rPr>
                <w:rFonts w:hint="eastAsia" w:ascii="宋体" w:hAnsi="宋体" w:cs="宋体"/>
                <w:color w:val="000000"/>
                <w:sz w:val="22"/>
                <w:szCs w:val="22"/>
              </w:rPr>
              <w:br w:type="textWrapping"/>
            </w:r>
            <w:r>
              <w:rPr>
                <w:rFonts w:hint="eastAsia" w:ascii="宋体" w:hAnsi="宋体" w:cs="宋体"/>
                <w:color w:val="000000"/>
                <w:sz w:val="22"/>
                <w:szCs w:val="22"/>
              </w:rPr>
              <w:t>14.支持网络限制策略，能够设定禁用外网或禁用全部网络，并支持设置例外，例外类型包括ip地址、网址、端口，并设置生效时间区间，能够精确到秒，支持按天执行、按周执行、按月执行(提供功能界面截图并加盖原厂公章)；</w:t>
            </w:r>
            <w:r>
              <w:rPr>
                <w:rFonts w:hint="eastAsia" w:ascii="宋体" w:hAnsi="宋体" w:cs="宋体"/>
                <w:color w:val="000000"/>
                <w:sz w:val="22"/>
                <w:szCs w:val="22"/>
              </w:rPr>
              <w:br w:type="textWrapping"/>
            </w:r>
            <w:r>
              <w:rPr>
                <w:rFonts w:hint="eastAsia" w:ascii="宋体" w:hAnsi="宋体" w:cs="宋体"/>
                <w:color w:val="000000"/>
                <w:sz w:val="22"/>
                <w:szCs w:val="22"/>
              </w:rPr>
              <w:t>15.能够针对学生软件使用、上网操作进行记录，并支持按照应用、访问网址进行查询，能够根据时间段进行搜索，搜索时间精确到秒，针对上网操作，能够展示网址及网站标题信息，支持表格导出；</w:t>
            </w:r>
            <w:r>
              <w:rPr>
                <w:rFonts w:hint="eastAsia" w:ascii="宋体" w:hAnsi="宋体" w:cs="宋体"/>
                <w:color w:val="000000"/>
                <w:sz w:val="22"/>
                <w:szCs w:val="22"/>
              </w:rPr>
              <w:br w:type="textWrapping"/>
            </w:r>
            <w:r>
              <w:rPr>
                <w:rFonts w:hint="eastAsia" w:ascii="宋体" w:hAnsi="宋体" w:cs="宋体"/>
                <w:color w:val="000000"/>
                <w:sz w:val="22"/>
                <w:szCs w:val="22"/>
              </w:rPr>
              <w:t>★16.为保证系统兼容性和稳定性，要求所有功能为同一品牌同一产品，不允许多种产品拼凑而成；</w:t>
            </w:r>
            <w:r>
              <w:rPr>
                <w:rFonts w:hint="eastAsia" w:ascii="宋体" w:hAnsi="宋体" w:cs="宋体"/>
                <w:color w:val="000000"/>
                <w:sz w:val="22"/>
                <w:szCs w:val="22"/>
              </w:rPr>
              <w:br w:type="textWrapping"/>
            </w:r>
            <w:r>
              <w:rPr>
                <w:rFonts w:hint="eastAsia" w:ascii="宋体" w:hAnsi="宋体" w:cs="宋体"/>
                <w:color w:val="000000"/>
                <w:sz w:val="22"/>
                <w:szCs w:val="22"/>
              </w:rPr>
              <w:t>17.需提供加盖原厂公章项目授权书及售后服务承诺书。</w:t>
            </w:r>
          </w:p>
        </w:tc>
        <w:tc>
          <w:tcPr>
            <w:tcW w:w="18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rPr>
              <w:t>点</w:t>
            </w:r>
          </w:p>
        </w:tc>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rPr>
              <w:t>46</w:t>
            </w:r>
          </w:p>
        </w:tc>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2"/>
                <w:szCs w:val="22"/>
              </w:rPr>
            </w:pPr>
            <w:r>
              <w:rPr>
                <w:rFonts w:hint="eastAsia" w:ascii="宋体" w:hAnsi="宋体" w:cs="宋体"/>
                <w:sz w:val="22"/>
                <w:szCs w:val="22"/>
              </w:rPr>
              <w:t>0</w:t>
            </w:r>
            <w:r>
              <w:rPr>
                <w:rFonts w:ascii="宋体" w:hAnsi="宋体" w:cs="宋体"/>
                <w:sz w:val="22"/>
                <w:szCs w:val="22"/>
              </w:rPr>
              <w:t>.05</w:t>
            </w:r>
          </w:p>
        </w:tc>
        <w:tc>
          <w:tcPr>
            <w:tcW w:w="4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rPr>
              <w:t>否</w:t>
            </w:r>
          </w:p>
        </w:tc>
        <w:tc>
          <w:tcPr>
            <w:tcW w:w="4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rPr>
              <w:t>保证软件使用的稳定性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sz w:val="22"/>
                <w:szCs w:val="22"/>
                <w:lang w:val="en-US" w:eastAsia="zh-CN"/>
              </w:rPr>
            </w:pPr>
            <w:r>
              <w:rPr>
                <w:rFonts w:hint="eastAsia" w:ascii="宋体" w:hAnsi="宋体"/>
                <w:color w:val="000000"/>
                <w:sz w:val="22"/>
                <w:szCs w:val="22"/>
                <w:lang w:val="en-US" w:eastAsia="zh-CN"/>
              </w:rPr>
              <w:t>5</w:t>
            </w:r>
          </w:p>
        </w:tc>
        <w:tc>
          <w:tcPr>
            <w:tcW w:w="24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课堂教学管理软件</w:t>
            </w:r>
          </w:p>
        </w:tc>
        <w:tc>
          <w:tcPr>
            <w:tcW w:w="287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ascii="宋体" w:hAnsi="宋体" w:cs="宋体"/>
                <w:color w:val="000000"/>
                <w:sz w:val="22"/>
                <w:szCs w:val="22"/>
              </w:rPr>
              <w:t>1.支持主窗口功能按钮、浮动工具条、右键菜单、快捷键多项操作方式；</w:t>
            </w:r>
            <w:r>
              <w:rPr>
                <w:rFonts w:hint="eastAsia" w:ascii="宋体" w:hAnsi="宋体" w:cs="宋体"/>
                <w:color w:val="000000"/>
                <w:sz w:val="22"/>
                <w:szCs w:val="22"/>
              </w:rPr>
              <w:br w:type="textWrapping"/>
            </w:r>
            <w:r>
              <w:rPr>
                <w:rFonts w:hint="eastAsia" w:ascii="宋体" w:hAnsi="宋体" w:cs="宋体"/>
                <w:color w:val="000000"/>
                <w:sz w:val="22"/>
                <w:szCs w:val="22"/>
              </w:rPr>
              <w:t>2.支持根据网络条件调节网络补偿强度，支持根据广播内容调节广播及录制效率，屏幕广播响应时间≤0.7秒；</w:t>
            </w:r>
            <w:r>
              <w:rPr>
                <w:rFonts w:hint="eastAsia" w:ascii="宋体" w:hAnsi="宋体" w:cs="宋体"/>
                <w:color w:val="000000"/>
                <w:sz w:val="22"/>
                <w:szCs w:val="22"/>
              </w:rPr>
              <w:br w:type="textWrapping"/>
            </w:r>
            <w:r>
              <w:rPr>
                <w:rFonts w:hint="eastAsia" w:ascii="宋体" w:hAnsi="宋体" w:cs="宋体"/>
                <w:color w:val="000000"/>
                <w:sz w:val="22"/>
                <w:szCs w:val="22"/>
              </w:rPr>
              <w:t>3.应采用流媒体技术，支持几乎所有常见的媒体音视频格式， Windows Media文件，VCD文件，DVD文件，Real文件，AVI文件，MP3等主流文件格式，支持不低于1080p的高清视频；</w:t>
            </w:r>
            <w:r>
              <w:rPr>
                <w:rFonts w:hint="eastAsia" w:ascii="宋体" w:hAnsi="宋体" w:cs="宋体"/>
                <w:color w:val="000000"/>
                <w:sz w:val="22"/>
                <w:szCs w:val="22"/>
              </w:rPr>
              <w:br w:type="textWrapping"/>
            </w:r>
            <w:r>
              <w:rPr>
                <w:rFonts w:hint="eastAsia" w:ascii="宋体" w:hAnsi="宋体" w:cs="宋体"/>
                <w:color w:val="000000"/>
                <w:sz w:val="22"/>
                <w:szCs w:val="22"/>
              </w:rPr>
              <w:t>4.支持防杀进程、断线保护、卸载密码保护等辅助功能维护教学秩序；</w:t>
            </w:r>
            <w:r>
              <w:rPr>
                <w:rFonts w:hint="eastAsia" w:ascii="宋体" w:hAnsi="宋体" w:cs="宋体"/>
                <w:color w:val="000000"/>
                <w:sz w:val="22"/>
                <w:szCs w:val="22"/>
              </w:rPr>
              <w:br w:type="textWrapping"/>
            </w:r>
            <w:r>
              <w:rPr>
                <w:rFonts w:hint="eastAsia" w:ascii="宋体" w:hAnsi="宋体" w:cs="宋体"/>
                <w:color w:val="000000"/>
                <w:sz w:val="22"/>
                <w:szCs w:val="22"/>
              </w:rPr>
              <w:t>5.支持文件分发和提交，支持拖拽添加文件，支持添加不同目录下的文件或文件目录；</w:t>
            </w:r>
            <w:r>
              <w:rPr>
                <w:rFonts w:hint="eastAsia" w:ascii="宋体" w:hAnsi="宋体" w:cs="宋体"/>
                <w:color w:val="000000"/>
                <w:sz w:val="22"/>
                <w:szCs w:val="22"/>
              </w:rPr>
              <w:br w:type="textWrapping"/>
            </w:r>
            <w:r>
              <w:rPr>
                <w:rFonts w:hint="eastAsia" w:ascii="宋体" w:hAnsi="宋体" w:cs="宋体"/>
                <w:color w:val="000000"/>
                <w:sz w:val="22"/>
                <w:szCs w:val="22"/>
              </w:rPr>
              <w:t>6.全面支持Windows系列操作系统，包括Windows 8、10（64位与32位）操作系统；</w:t>
            </w:r>
            <w:r>
              <w:rPr>
                <w:rFonts w:hint="eastAsia" w:ascii="宋体" w:hAnsi="宋体" w:cs="宋体"/>
                <w:color w:val="000000"/>
                <w:sz w:val="22"/>
                <w:szCs w:val="22"/>
              </w:rPr>
              <w:br w:type="textWrapping"/>
            </w:r>
            <w:r>
              <w:rPr>
                <w:rFonts w:hint="eastAsia" w:ascii="宋体" w:hAnsi="宋体" w:cs="宋体"/>
                <w:color w:val="000000"/>
                <w:sz w:val="22"/>
                <w:szCs w:val="22"/>
              </w:rPr>
              <w:t>7.支持屏幕广播功能，支持将教师机屏幕和教师讲话实时广播给单一、部分或全体学生，支持全屏或窗口方式，支持窗口模式下或教师机与学生机分辨率不同情况下，学生机可以以不同的窗口方式接收广播；</w:t>
            </w:r>
            <w:r>
              <w:rPr>
                <w:rFonts w:hint="eastAsia" w:ascii="宋体" w:hAnsi="宋体" w:cs="宋体"/>
                <w:color w:val="000000"/>
                <w:sz w:val="22"/>
                <w:szCs w:val="22"/>
              </w:rPr>
              <w:br w:type="textWrapping"/>
            </w:r>
            <w:r>
              <w:rPr>
                <w:rFonts w:hint="eastAsia" w:ascii="宋体" w:hAnsi="宋体" w:cs="宋体"/>
                <w:color w:val="000000"/>
                <w:sz w:val="22"/>
                <w:szCs w:val="22"/>
              </w:rPr>
              <w:t>8.屏幕广播时支持多种画面质量的调节，支持根据网络的不同选择最好的效果进行教学；</w:t>
            </w:r>
            <w:r>
              <w:rPr>
                <w:rFonts w:hint="eastAsia" w:ascii="宋体" w:hAnsi="宋体" w:cs="宋体"/>
                <w:color w:val="000000"/>
                <w:sz w:val="22"/>
                <w:szCs w:val="22"/>
              </w:rPr>
              <w:br w:type="textWrapping"/>
            </w:r>
            <w:r>
              <w:rPr>
                <w:rFonts w:hint="eastAsia" w:ascii="宋体" w:hAnsi="宋体" w:cs="宋体"/>
                <w:color w:val="000000"/>
                <w:sz w:val="22"/>
                <w:szCs w:val="22"/>
              </w:rPr>
              <w:t>9.支持屏幕笔功能，支持突出显示项目、添加注释，添加批注等；</w:t>
            </w:r>
            <w:r>
              <w:rPr>
                <w:rFonts w:hint="eastAsia" w:ascii="宋体" w:hAnsi="宋体" w:cs="宋体"/>
                <w:color w:val="000000"/>
                <w:sz w:val="22"/>
                <w:szCs w:val="22"/>
              </w:rPr>
              <w:br w:type="textWrapping"/>
            </w:r>
            <w:r>
              <w:rPr>
                <w:rFonts w:hint="eastAsia" w:ascii="宋体" w:hAnsi="宋体" w:cs="宋体"/>
                <w:color w:val="000000"/>
                <w:sz w:val="22"/>
                <w:szCs w:val="22"/>
              </w:rPr>
              <w:t>★10.共享白板：支持教师可共享白板、桌面或图片与选定的学生共同完成相同的学习任务或绘画作品，学生也可以单独完成（提供功能截图并加盖原厂公章）；</w:t>
            </w:r>
            <w:r>
              <w:rPr>
                <w:rFonts w:hint="eastAsia" w:ascii="宋体" w:hAnsi="宋体" w:cs="宋体"/>
                <w:color w:val="000000"/>
                <w:sz w:val="22"/>
                <w:szCs w:val="22"/>
              </w:rPr>
              <w:br w:type="textWrapping"/>
            </w:r>
            <w:r>
              <w:rPr>
                <w:rFonts w:hint="eastAsia" w:ascii="宋体" w:hAnsi="宋体" w:cs="宋体"/>
                <w:color w:val="000000"/>
                <w:sz w:val="22"/>
                <w:szCs w:val="22"/>
              </w:rPr>
              <w:t>11.支持网络影院功能，可实现教师机播放的视频同步播放到学生机；</w:t>
            </w:r>
            <w:r>
              <w:rPr>
                <w:rFonts w:hint="eastAsia" w:ascii="宋体" w:hAnsi="宋体" w:cs="宋体"/>
                <w:color w:val="000000"/>
                <w:sz w:val="22"/>
                <w:szCs w:val="22"/>
              </w:rPr>
              <w:br w:type="textWrapping"/>
            </w:r>
            <w:r>
              <w:rPr>
                <w:rFonts w:hint="eastAsia" w:ascii="宋体" w:hAnsi="宋体" w:cs="宋体"/>
                <w:color w:val="000000"/>
                <w:sz w:val="22"/>
                <w:szCs w:val="22"/>
              </w:rPr>
              <w:t>12.支持通过USB摄像头将教师的画面实时广播到学生机，支持引导客户选择视频设备的提示画面，以便客户快速完成摄像头设备的设置；</w:t>
            </w:r>
            <w:r>
              <w:rPr>
                <w:rFonts w:hint="eastAsia" w:ascii="宋体" w:hAnsi="宋体" w:cs="宋体"/>
                <w:color w:val="000000"/>
                <w:sz w:val="22"/>
                <w:szCs w:val="22"/>
              </w:rPr>
              <w:br w:type="textWrapping"/>
            </w:r>
            <w:r>
              <w:rPr>
                <w:rFonts w:hint="eastAsia" w:ascii="宋体" w:hAnsi="宋体" w:cs="宋体"/>
                <w:color w:val="000000"/>
                <w:sz w:val="22"/>
                <w:szCs w:val="22"/>
              </w:rPr>
              <w:t>13.支持将教师机麦克风的声音广播给学生，教学过程中，可以请任何一位已登录的学生发言，其他学生和教师收听该学生发言；</w:t>
            </w:r>
            <w:r>
              <w:rPr>
                <w:rFonts w:hint="eastAsia" w:ascii="宋体" w:hAnsi="宋体" w:cs="宋体"/>
                <w:color w:val="000000"/>
                <w:sz w:val="22"/>
                <w:szCs w:val="22"/>
              </w:rPr>
              <w:br w:type="textWrapping"/>
            </w:r>
            <w:r>
              <w:rPr>
                <w:rFonts w:hint="eastAsia" w:ascii="宋体" w:hAnsi="宋体" w:cs="宋体"/>
                <w:color w:val="000000"/>
                <w:sz w:val="22"/>
                <w:szCs w:val="22"/>
              </w:rPr>
              <w:t>14.支持教师可以选择任意一名已登录学生与其进行双向语音交谈，除教师和此学生外，其他学生不会受到干扰，可以动态切换对讲对象；</w:t>
            </w:r>
            <w:r>
              <w:rPr>
                <w:rFonts w:hint="eastAsia" w:ascii="宋体" w:hAnsi="宋体" w:cs="宋体"/>
                <w:color w:val="000000"/>
                <w:sz w:val="22"/>
                <w:szCs w:val="22"/>
              </w:rPr>
              <w:br w:type="textWrapping"/>
            </w:r>
            <w:r>
              <w:rPr>
                <w:rFonts w:hint="eastAsia" w:ascii="宋体" w:hAnsi="宋体" w:cs="宋体"/>
                <w:color w:val="000000"/>
                <w:sz w:val="22"/>
                <w:szCs w:val="22"/>
              </w:rPr>
              <w:t>15.支持教师可选定一台学生机作为示范，由此学生代替教师进行示范教学；</w:t>
            </w:r>
            <w:r>
              <w:rPr>
                <w:rFonts w:hint="eastAsia" w:ascii="宋体" w:hAnsi="宋体" w:cs="宋体"/>
                <w:color w:val="000000"/>
                <w:sz w:val="22"/>
                <w:szCs w:val="22"/>
              </w:rPr>
              <w:br w:type="textWrapping"/>
            </w:r>
            <w:r>
              <w:rPr>
                <w:rFonts w:hint="eastAsia" w:ascii="宋体" w:hAnsi="宋体" w:cs="宋体"/>
                <w:color w:val="000000"/>
                <w:sz w:val="22"/>
                <w:szCs w:val="22"/>
              </w:rPr>
              <w:t>16.支持教师分派组长执行指定的功能，组长代替教师进行小组教学，小组不需要再临时创建，可以直接使用既有分组信息，教师可以监控每个分组的教学过程，以了解分组教学的进度；</w:t>
            </w:r>
            <w:r>
              <w:rPr>
                <w:rFonts w:hint="eastAsia" w:ascii="宋体" w:hAnsi="宋体" w:cs="宋体"/>
                <w:color w:val="000000"/>
                <w:sz w:val="22"/>
                <w:szCs w:val="22"/>
              </w:rPr>
              <w:br w:type="textWrapping"/>
            </w:r>
            <w:r>
              <w:rPr>
                <w:rFonts w:hint="eastAsia" w:ascii="宋体" w:hAnsi="宋体" w:cs="宋体"/>
                <w:color w:val="000000"/>
                <w:sz w:val="22"/>
                <w:szCs w:val="22"/>
              </w:rPr>
              <w:t>17.支持教师可以创建不少于3个小组进行讨论活动，并可任意选择分组加入讨论活动，支持同组师生支持多种方式进行交流，包括文字，表情，图片等</w:t>
            </w:r>
            <w:r>
              <w:rPr>
                <w:rFonts w:hint="eastAsia" w:ascii="宋体" w:hAnsi="宋体" w:cs="宋体"/>
                <w:color w:val="000000"/>
                <w:sz w:val="22"/>
                <w:szCs w:val="22"/>
              </w:rPr>
              <w:br w:type="textWrapping"/>
            </w:r>
            <w:r>
              <w:rPr>
                <w:rFonts w:hint="eastAsia" w:ascii="宋体" w:hAnsi="宋体" w:cs="宋体"/>
                <w:color w:val="000000"/>
                <w:sz w:val="22"/>
                <w:szCs w:val="22"/>
              </w:rPr>
              <w:t>18.支持教师机可以将本地的操作和讲解过程录制为ASF录像文件，可以用 Windows 自带的 Media Player 直接播放；</w:t>
            </w:r>
            <w:r>
              <w:rPr>
                <w:rFonts w:hint="eastAsia" w:ascii="宋体" w:hAnsi="宋体" w:cs="宋体"/>
                <w:color w:val="000000"/>
                <w:sz w:val="22"/>
                <w:szCs w:val="22"/>
              </w:rPr>
              <w:br w:type="textWrapping"/>
            </w:r>
            <w:r>
              <w:rPr>
                <w:rFonts w:hint="eastAsia" w:ascii="宋体" w:hAnsi="宋体" w:cs="宋体"/>
                <w:color w:val="000000"/>
                <w:sz w:val="22"/>
                <w:szCs w:val="22"/>
              </w:rPr>
              <w:t>19.支持学生端接收教师端广播的时候自动录制教师机广播教学的过程；</w:t>
            </w:r>
          </w:p>
          <w:p>
            <w:pPr>
              <w:rPr>
                <w:rFonts w:ascii="宋体" w:hAnsi="宋体" w:cs="宋体"/>
                <w:color w:val="000000"/>
                <w:sz w:val="22"/>
                <w:szCs w:val="22"/>
              </w:rPr>
            </w:pPr>
            <w:r>
              <w:rPr>
                <w:rFonts w:hint="eastAsia" w:ascii="宋体" w:hAnsi="宋体" w:cs="宋体"/>
                <w:color w:val="000000"/>
                <w:sz w:val="22"/>
                <w:szCs w:val="22"/>
              </w:rPr>
              <w:t>20.支持教师将教师机不同盘符中的目录或文件一起发送至生机的某目录下，目录不存在自动新建此目录，盘符不存在或路径非法不允许分发，文件已存在选择自动覆盖或保留原始文件；</w:t>
            </w:r>
            <w:r>
              <w:rPr>
                <w:rFonts w:hint="eastAsia" w:ascii="宋体" w:hAnsi="宋体" w:cs="宋体"/>
                <w:color w:val="000000"/>
                <w:sz w:val="22"/>
                <w:szCs w:val="22"/>
              </w:rPr>
              <w:br w:type="textWrapping"/>
            </w:r>
            <w:r>
              <w:rPr>
                <w:rFonts w:hint="eastAsia" w:ascii="宋体" w:hAnsi="宋体" w:cs="宋体"/>
                <w:color w:val="000000"/>
                <w:sz w:val="22"/>
                <w:szCs w:val="22"/>
              </w:rPr>
              <w:t>21.支持学生把做好的作业直接提交到教师机，支持通过特殊设置，学生提交作业时必需经过教师审批通过后才可提交，教师可以选择接收和拒绝学生提交的文件，支持教师限制学生提交文件的数目和大小；</w:t>
            </w:r>
            <w:r>
              <w:rPr>
                <w:rFonts w:hint="eastAsia" w:ascii="宋体" w:hAnsi="宋体" w:cs="宋体"/>
                <w:color w:val="000000"/>
                <w:sz w:val="22"/>
                <w:szCs w:val="22"/>
              </w:rPr>
              <w:br w:type="textWrapping"/>
            </w:r>
            <w:r>
              <w:rPr>
                <w:rFonts w:hint="eastAsia" w:ascii="宋体" w:hAnsi="宋体" w:cs="宋体"/>
                <w:color w:val="000000"/>
                <w:sz w:val="22"/>
                <w:szCs w:val="22"/>
              </w:rPr>
              <w:t>22.支持网络快照功能，教师可以在监控学生的时候，对学生画面拍快照，保存学生画面的截图；</w:t>
            </w:r>
            <w:r>
              <w:rPr>
                <w:rFonts w:hint="eastAsia" w:ascii="宋体" w:hAnsi="宋体" w:cs="宋体"/>
                <w:color w:val="000000"/>
                <w:sz w:val="22"/>
                <w:szCs w:val="22"/>
              </w:rPr>
              <w:br w:type="textWrapping"/>
            </w:r>
            <w:r>
              <w:rPr>
                <w:rFonts w:hint="eastAsia" w:ascii="宋体" w:hAnsi="宋体" w:cs="宋体"/>
                <w:color w:val="000000"/>
                <w:sz w:val="22"/>
                <w:szCs w:val="22"/>
              </w:rPr>
              <w:t>23.支持屏幕监视功能，教师机可以监视单一、部分、全体学生机的屏幕，教师机每屏可监视不少于36个学生屏幕，支持控制教师机监控的同屏幕各窗口间、屏幕与屏幕间的切换速度，支持手动或自动循环监视</w:t>
            </w:r>
            <w:r>
              <w:rPr>
                <w:rFonts w:hint="eastAsia" w:ascii="宋体" w:hAnsi="宋体" w:cs="宋体"/>
                <w:color w:val="000000"/>
                <w:sz w:val="22"/>
                <w:szCs w:val="22"/>
              </w:rPr>
              <w:br w:type="textWrapping"/>
            </w:r>
            <w:r>
              <w:rPr>
                <w:rFonts w:hint="eastAsia" w:ascii="宋体" w:hAnsi="宋体" w:cs="宋体"/>
                <w:color w:val="000000"/>
                <w:sz w:val="22"/>
                <w:szCs w:val="22"/>
              </w:rPr>
              <w:t>24.支持不少于32个频道的划分，一个教师可对单个班级或多个班级同时上课，；多个教师可同时对多个班级进行不同内容的教学；</w:t>
            </w:r>
          </w:p>
          <w:p>
            <w:pPr>
              <w:rPr>
                <w:rFonts w:ascii="宋体" w:hAnsi="宋体" w:cs="宋体"/>
                <w:color w:val="000000"/>
                <w:sz w:val="22"/>
                <w:szCs w:val="22"/>
              </w:rPr>
            </w:pPr>
            <w:r>
              <w:rPr>
                <w:rFonts w:hint="eastAsia" w:ascii="宋体" w:hAnsi="宋体" w:cs="宋体"/>
                <w:color w:val="000000"/>
                <w:sz w:val="22"/>
                <w:szCs w:val="22"/>
              </w:rPr>
              <w:t>25.制造商应具有双软企业认证、ISO9000认证、ISO27001信息安全体系认证（提供证书扫描件并加盖原厂公章）；</w:t>
            </w:r>
          </w:p>
          <w:p>
            <w:pP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rPr>
              <w:t>26.提供所投产品软件产品登记测试报告（提供证书扫描件并加盖原厂公章）。</w:t>
            </w:r>
          </w:p>
        </w:tc>
        <w:tc>
          <w:tcPr>
            <w:tcW w:w="18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rPr>
              <w:t>套</w:t>
            </w:r>
          </w:p>
        </w:tc>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rPr>
              <w:t>1</w:t>
            </w:r>
          </w:p>
        </w:tc>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2"/>
                <w:szCs w:val="22"/>
              </w:rPr>
            </w:pPr>
            <w:r>
              <w:rPr>
                <w:rFonts w:hint="eastAsia" w:ascii="宋体" w:hAnsi="宋体" w:cs="宋体"/>
                <w:sz w:val="22"/>
                <w:szCs w:val="22"/>
              </w:rPr>
              <w:t>1</w:t>
            </w:r>
            <w:r>
              <w:rPr>
                <w:rFonts w:ascii="宋体" w:hAnsi="宋体" w:cs="宋体"/>
                <w:sz w:val="22"/>
                <w:szCs w:val="22"/>
              </w:rPr>
              <w:t>.2</w:t>
            </w:r>
          </w:p>
        </w:tc>
        <w:tc>
          <w:tcPr>
            <w:tcW w:w="4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rPr>
              <w:t>否</w:t>
            </w:r>
          </w:p>
        </w:tc>
        <w:tc>
          <w:tcPr>
            <w:tcW w:w="4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rPr>
              <w:t>满足教学需求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22"/>
                <w:szCs w:val="22"/>
                <w:lang w:val="en-US" w:eastAsia="zh-CN"/>
              </w:rPr>
            </w:pPr>
          </w:p>
        </w:tc>
        <w:tc>
          <w:tcPr>
            <w:tcW w:w="24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专业文化建设</w:t>
            </w:r>
          </w:p>
        </w:tc>
        <w:tc>
          <w:tcPr>
            <w:tcW w:w="2873" w:type="pct"/>
            <w:tcBorders>
              <w:top w:val="single" w:color="auto" w:sz="4" w:space="0"/>
              <w:left w:val="single" w:color="auto" w:sz="4" w:space="0"/>
              <w:bottom w:val="single" w:color="auto" w:sz="4" w:space="0"/>
              <w:right w:val="single" w:color="auto" w:sz="4" w:space="0"/>
            </w:tcBorders>
            <w:vAlign w:val="center"/>
          </w:tcPr>
          <w:p>
            <w:pPr>
              <w:widowControl/>
              <w:ind w:firstLine="440" w:firstLineChars="200"/>
              <w:jc w:val="left"/>
              <w:rPr>
                <w:rFonts w:hint="default" w:ascii="宋体" w:hAnsi="宋体"/>
                <w:color w:val="auto"/>
                <w:sz w:val="22"/>
                <w:szCs w:val="22"/>
                <w:lang w:val="en-US" w:eastAsia="zh-CN"/>
              </w:rPr>
            </w:pPr>
            <w:r>
              <w:rPr>
                <w:rFonts w:hint="eastAsia" w:ascii="宋体" w:hAnsi="宋体"/>
                <w:color w:val="auto"/>
                <w:sz w:val="22"/>
                <w:szCs w:val="22"/>
                <w:lang w:val="en-US" w:eastAsia="zh-CN"/>
              </w:rPr>
              <w:t>提供专业文化建设服务：</w:t>
            </w:r>
          </w:p>
          <w:p>
            <w:pPr>
              <w:widowControl/>
              <w:jc w:val="left"/>
              <w:rPr>
                <w:rFonts w:hint="default" w:ascii="宋体" w:hAnsi="宋体"/>
                <w:color w:val="auto"/>
                <w:sz w:val="22"/>
                <w:szCs w:val="22"/>
                <w:lang w:val="en-US" w:eastAsia="zh-CN"/>
              </w:rPr>
            </w:pPr>
            <w:r>
              <w:rPr>
                <w:rFonts w:hint="eastAsia" w:ascii="宋体" w:hAnsi="宋体"/>
                <w:color w:val="auto"/>
                <w:sz w:val="22"/>
                <w:szCs w:val="22"/>
                <w:lang w:val="en-US" w:eastAsia="zh-CN"/>
              </w:rPr>
              <w:t>1.墙面改造、地面改造、顶部改造、教室隔断</w:t>
            </w:r>
            <w:r>
              <w:rPr>
                <w:rFonts w:hint="eastAsia" w:ascii="宋体" w:hAnsi="宋体"/>
                <w:color w:val="auto"/>
                <w:sz w:val="22"/>
                <w:szCs w:val="22"/>
                <w:vertAlign w:val="baseline"/>
                <w:lang w:val="en-US" w:eastAsia="zh-CN"/>
              </w:rPr>
              <w:t>以及配套的照明改造</w:t>
            </w:r>
            <w:r>
              <w:rPr>
                <w:rFonts w:hint="eastAsia" w:ascii="宋体" w:hAnsi="宋体"/>
                <w:color w:val="auto"/>
                <w:sz w:val="22"/>
                <w:szCs w:val="22"/>
                <w:lang w:val="en-US" w:eastAsia="zh-CN"/>
              </w:rPr>
              <w:t>等，保证实训室能够满足正常实训授课条件；</w:t>
            </w:r>
          </w:p>
          <w:p>
            <w:pPr>
              <w:widowControl/>
              <w:jc w:val="left"/>
              <w:rPr>
                <w:rFonts w:hint="eastAsia" w:ascii="宋体" w:hAnsi="宋体" w:eastAsia="宋体"/>
                <w:color w:val="auto"/>
                <w:sz w:val="22"/>
                <w:szCs w:val="22"/>
                <w:lang w:eastAsia="zh-CN"/>
              </w:rPr>
            </w:pPr>
            <w:r>
              <w:rPr>
                <w:rFonts w:hint="eastAsia" w:ascii="宋体" w:hAnsi="宋体"/>
                <w:color w:val="auto"/>
                <w:sz w:val="22"/>
                <w:szCs w:val="22"/>
                <w:lang w:val="en-US" w:eastAsia="zh-CN"/>
              </w:rPr>
              <w:t>2</w:t>
            </w:r>
            <w:r>
              <w:rPr>
                <w:rFonts w:hint="eastAsia" w:ascii="宋体" w:hAnsi="宋体"/>
                <w:color w:val="auto"/>
                <w:sz w:val="22"/>
                <w:szCs w:val="22"/>
              </w:rPr>
              <w:t>.强弱电布线及系统集成服务，包含：强弱电布线、电源改造及安装、机柜安装、</w:t>
            </w:r>
            <w:r>
              <w:rPr>
                <w:rFonts w:hint="eastAsia" w:ascii="宋体" w:hAnsi="宋体"/>
                <w:color w:val="auto"/>
                <w:sz w:val="22"/>
                <w:szCs w:val="22"/>
                <w:lang w:val="en-US" w:eastAsia="zh-CN"/>
              </w:rPr>
              <w:t>网络系统</w:t>
            </w:r>
            <w:r>
              <w:rPr>
                <w:rFonts w:hint="eastAsia" w:ascii="宋体" w:hAnsi="宋体"/>
                <w:color w:val="auto"/>
                <w:sz w:val="22"/>
                <w:szCs w:val="22"/>
              </w:rPr>
              <w:t>安装与调试</w:t>
            </w:r>
            <w:r>
              <w:rPr>
                <w:rFonts w:hint="eastAsia" w:ascii="宋体" w:hAnsi="宋体"/>
                <w:color w:val="auto"/>
                <w:sz w:val="22"/>
                <w:szCs w:val="22"/>
                <w:lang w:val="en-US" w:eastAsia="zh-CN"/>
              </w:rPr>
              <w:t>等</w:t>
            </w:r>
            <w:r>
              <w:rPr>
                <w:rFonts w:hint="eastAsia" w:ascii="宋体" w:hAnsi="宋体"/>
                <w:color w:val="auto"/>
                <w:sz w:val="22"/>
                <w:szCs w:val="22"/>
                <w:lang w:eastAsia="zh-CN"/>
              </w:rPr>
              <w:t>；</w:t>
            </w:r>
          </w:p>
          <w:p>
            <w:pPr>
              <w:widowControl/>
              <w:jc w:val="left"/>
              <w:rPr>
                <w:rFonts w:hint="eastAsia" w:ascii="宋体" w:hAnsi="宋体"/>
                <w:color w:val="auto"/>
                <w:sz w:val="22"/>
                <w:szCs w:val="22"/>
                <w:lang w:val="en-US" w:eastAsia="zh-CN"/>
              </w:rPr>
            </w:pPr>
            <w:r>
              <w:rPr>
                <w:rFonts w:hint="eastAsia" w:ascii="宋体" w:hAnsi="宋体"/>
                <w:color w:val="auto"/>
                <w:sz w:val="22"/>
                <w:szCs w:val="22"/>
                <w:lang w:val="en-US" w:eastAsia="zh-CN"/>
              </w:rPr>
              <w:t>3.与专业建设匹配的实训场所氛围建设，需提供设计图纸，采购人认可后方可执行，包含基础设施装潢、文化墙展示，充分参考专业文化内涵，体现行业技术于应用创新的结合，保障与学院内涵建设的一致性。</w:t>
            </w:r>
          </w:p>
          <w:p>
            <w:pPr>
              <w:widowControl/>
              <w:jc w:val="left"/>
              <w:rPr>
                <w:rFonts w:hint="default" w:ascii="宋体" w:hAnsi="宋体"/>
                <w:color w:val="FF0000"/>
                <w:sz w:val="22"/>
                <w:szCs w:val="22"/>
                <w:lang w:val="en-US" w:eastAsia="zh-CN"/>
              </w:rPr>
            </w:pPr>
            <w:r>
              <w:rPr>
                <w:rFonts w:hint="eastAsia" w:ascii="宋体" w:hAnsi="宋体"/>
                <w:color w:val="auto"/>
                <w:sz w:val="22"/>
                <w:szCs w:val="22"/>
                <w:lang w:val="en-US" w:eastAsia="zh-CN"/>
              </w:rPr>
              <w:t xml:space="preserve">    专业文化建设服务详细内容见附件专业文化建设工程量单。</w:t>
            </w:r>
          </w:p>
        </w:tc>
        <w:tc>
          <w:tcPr>
            <w:tcW w:w="18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rPr>
              <w:t>套</w:t>
            </w:r>
          </w:p>
        </w:tc>
        <w:tc>
          <w:tcPr>
            <w:tcW w:w="1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rPr>
              <w:t>1</w:t>
            </w:r>
          </w:p>
        </w:tc>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34.6659</w:t>
            </w:r>
          </w:p>
        </w:tc>
        <w:tc>
          <w:tcPr>
            <w:tcW w:w="4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rPr>
              <w:t>否</w:t>
            </w:r>
          </w:p>
        </w:tc>
        <w:tc>
          <w:tcPr>
            <w:tcW w:w="4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2"/>
                <w:szCs w:val="22"/>
                <w:lang w:val="en-US" w:eastAsia="zh-CN" w:bidi="ar-SA"/>
              </w:rPr>
            </w:pPr>
            <w:r>
              <w:rPr>
                <w:rFonts w:hint="eastAsia" w:ascii="宋体" w:hAnsi="宋体" w:cs="宋体"/>
                <w:sz w:val="22"/>
                <w:szCs w:val="22"/>
              </w:rPr>
              <w:t>满足教学需求</w:t>
            </w:r>
          </w:p>
        </w:tc>
      </w:tr>
    </w:tbl>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rPr>
          <w:rFonts w:hint="eastAsia" w:ascii="宋体" w:hAnsi="宋体" w:eastAsia="宋体" w:cs="Times New Roman"/>
          <w:color w:val="auto"/>
          <w:sz w:val="24"/>
        </w:rPr>
      </w:pPr>
    </w:p>
    <w:p>
      <w:pPr>
        <w:rPr>
          <w:rFonts w:hint="eastAsia" w:ascii="宋体" w:hAnsi="宋体" w:eastAsia="宋体" w:cs="Times New Roman"/>
          <w:color w:val="auto"/>
          <w:sz w:val="24"/>
        </w:rPr>
      </w:pPr>
    </w:p>
    <w:p>
      <w:pPr>
        <w:rPr>
          <w:rFonts w:ascii="宋体" w:hAnsi="宋体" w:eastAsia="宋体" w:cs="Times New Roman"/>
          <w:color w:val="auto"/>
          <w:sz w:val="24"/>
        </w:rPr>
      </w:pPr>
      <w:r>
        <w:rPr>
          <w:rFonts w:hint="eastAsia" w:ascii="宋体" w:hAnsi="宋体" w:eastAsia="宋体" w:cs="Times New Roman"/>
          <w:color w:val="auto"/>
          <w:sz w:val="24"/>
        </w:rPr>
        <w:t>附件：</w:t>
      </w:r>
      <w:r>
        <w:rPr>
          <w:rFonts w:hint="eastAsia" w:ascii="宋体" w:hAnsi="宋体" w:eastAsia="宋体" w:cs="Times New Roman"/>
          <w:color w:val="auto"/>
          <w:sz w:val="24"/>
          <w:lang w:val="en-US" w:eastAsia="zh-CN"/>
        </w:rPr>
        <w:t>专业文化</w:t>
      </w:r>
      <w:r>
        <w:rPr>
          <w:rFonts w:hint="eastAsia" w:ascii="宋体" w:hAnsi="宋体" w:eastAsia="宋体" w:cs="Times New Roman"/>
          <w:color w:val="auto"/>
          <w:sz w:val="24"/>
        </w:rPr>
        <w:t>建设工程量单</w:t>
      </w:r>
    </w:p>
    <w:tbl>
      <w:tblPr>
        <w:tblStyle w:val="7"/>
        <w:tblW w:w="13701" w:type="dxa"/>
        <w:jc w:val="center"/>
        <w:tblLayout w:type="autofit"/>
        <w:tblCellMar>
          <w:top w:w="0" w:type="dxa"/>
          <w:left w:w="108" w:type="dxa"/>
          <w:bottom w:w="0" w:type="dxa"/>
          <w:right w:w="108" w:type="dxa"/>
        </w:tblCellMar>
      </w:tblPr>
      <w:tblGrid>
        <w:gridCol w:w="719"/>
        <w:gridCol w:w="2370"/>
        <w:gridCol w:w="718"/>
        <w:gridCol w:w="1290"/>
        <w:gridCol w:w="8278"/>
        <w:gridCol w:w="326"/>
      </w:tblGrid>
      <w:tr>
        <w:tblPrEx>
          <w:tblCellMar>
            <w:top w:w="0" w:type="dxa"/>
            <w:left w:w="108" w:type="dxa"/>
            <w:bottom w:w="0" w:type="dxa"/>
            <w:right w:w="108" w:type="dxa"/>
          </w:tblCellMar>
        </w:tblPrEx>
        <w:trPr>
          <w:gridAfter w:val="1"/>
          <w:wAfter w:w="326" w:type="dxa"/>
          <w:trHeight w:val="312" w:hRule="atLeast"/>
          <w:jc w:val="center"/>
        </w:trPr>
        <w:tc>
          <w:tcPr>
            <w:tcW w:w="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bookmarkStart w:id="0" w:name="RANGE!A1:E169"/>
            <w:r>
              <w:rPr>
                <w:rFonts w:hint="eastAsia" w:ascii="宋体" w:hAnsi="宋体" w:eastAsia="宋体" w:cs="宋体"/>
                <w:b/>
                <w:bCs/>
                <w:color w:val="000000"/>
                <w:kern w:val="0"/>
                <w:sz w:val="22"/>
                <w:szCs w:val="22"/>
              </w:rPr>
              <w:t>序号</w:t>
            </w:r>
            <w:bookmarkEnd w:id="0"/>
          </w:p>
        </w:tc>
        <w:tc>
          <w:tcPr>
            <w:tcW w:w="23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项目名称</w:t>
            </w:r>
          </w:p>
        </w:tc>
        <w:tc>
          <w:tcPr>
            <w:tcW w:w="7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单位</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数量</w:t>
            </w:r>
          </w:p>
        </w:tc>
        <w:tc>
          <w:tcPr>
            <w:tcW w:w="82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材料说明及工艺备注</w:t>
            </w:r>
          </w:p>
        </w:tc>
      </w:tr>
      <w:tr>
        <w:tblPrEx>
          <w:tblCellMar>
            <w:top w:w="0" w:type="dxa"/>
            <w:left w:w="108" w:type="dxa"/>
            <w:bottom w:w="0" w:type="dxa"/>
            <w:right w:w="108" w:type="dxa"/>
          </w:tblCellMar>
        </w:tblPrEx>
        <w:trPr>
          <w:trHeight w:val="270"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2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8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szCs w:val="22"/>
              </w:rPr>
            </w:pPr>
          </w:p>
        </w:tc>
        <w:tc>
          <w:tcPr>
            <w:tcW w:w="326"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337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一、楼道</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133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地面项目</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水泥自流平</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1038.00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1.基层处理。2.涂界面剂。3.水泥自流平进行找平。</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237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环氧地坪漆</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1038.00 </w:t>
            </w:r>
          </w:p>
        </w:tc>
        <w:tc>
          <w:tcPr>
            <w:tcW w:w="8278"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1.打磨、吸尘。2.自流平环氧色漆镘漆1-2遍。</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13375" w:type="dxa"/>
            <w:gridSpan w:val="5"/>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墙顶面项目</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23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墙面铲除墙皮</w:t>
            </w: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1620.00 </w:t>
            </w:r>
          </w:p>
        </w:tc>
        <w:tc>
          <w:tcPr>
            <w:tcW w:w="8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1.铲除墙皮。</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49"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墙面墙固</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1620.00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1.墙面墙固。</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墙面刮腻子刷乳胶漆</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1620.00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1.基底处理。2.墙面打磨。3</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刷面漆两遍。</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57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200wLED工矿灯（吊链款）</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60.00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LED200W工矿灯含吊链+吸盘。</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2.5mm²电路改造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700.00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线铺管穿线，2.5mm²电线，过道，开放区灯位布线。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线铺管穿线，4mm²电线，过道，开放区灯位主线。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镀锌电线管</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800.00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直径20镀锌线管铺设。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10mm²电路改造</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电缆桥架</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10*10铁质桥架铺设。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0</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配电箱</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5路配电箱，总闸一路，照明一路，插座一路。</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1</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漏电保护器</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C63双P漏保一个，C32单P空开1个，C20单P空开1个。</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2</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灯路单路控制面板</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4.00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开关位置图纸显示。</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3</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踢脚线</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200.00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1.清理原墙体，用专业结构件固定，PC-02高分子踢脚线。2.工程内容：基层清理、面层铺贴、材料运输。</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4</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背景墙制作</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轻钢龙骨框架，大芯板打底，外覆双层石膏板，刮腻子，打磨刷漆。</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70" w:hRule="atLeast"/>
          <w:jc w:val="center"/>
        </w:trPr>
        <w:tc>
          <w:tcPr>
            <w:tcW w:w="1337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二、功能区域一</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133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地面项目</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水泥自流平</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147.00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1.基层处理。2.涂界面剂。3.水泥自流平进行找平。</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237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环氧地坪漆</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147.00 </w:t>
            </w:r>
          </w:p>
        </w:tc>
        <w:tc>
          <w:tcPr>
            <w:tcW w:w="8278"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1.打磨、吸尘。2.自流平环氧色漆镘漆1-2遍。</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13375" w:type="dxa"/>
            <w:gridSpan w:val="5"/>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墙顶面项目</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305"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23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墙面墙固</w:t>
            </w: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190.00 </w:t>
            </w:r>
          </w:p>
        </w:tc>
        <w:tc>
          <w:tcPr>
            <w:tcW w:w="8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墙面墙固</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墙面刮腻子刷乳胶漆</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190.00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1.基底处理。2.墙面打磨。3</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刷面漆两遍。</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29"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轻钢龙骨石膏板隔断</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190.00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轻钢龙骨石膏板隔断。</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隔断加方钢立柱</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35.00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10*20方钢立柱。</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2.5mm²电路改造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200.00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线铺管穿线，2.5mm²电线。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线铺管穿线，4mm²电线，主线，空调。</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地面铝合金明线槽</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400.00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地面铝合金明线槽铺设。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镀锌电线管</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直径20镀锌线管铺设。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10mm²电路改造</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0</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电缆桥架</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10*10铁质桥架铺设。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1</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配电箱</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4路配电箱，总闸一路，照明一路，插座一路。</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2</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漏电保护器</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4.00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C63双P漏保一个，C32单P空开2个，C20单P空开1个。</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3</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插座、控制面板</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97.00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47个五孔电源，47个网线插座，2个单路灯路控制开关，1个空调电源。</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4</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弱电改造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200.00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45+2工位网线端口，超六类网线，线铺管穿线。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5</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隔断填充隔音棉</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190.00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防火隔音棉填充。</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6</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背景墙加单面大芯板</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59.00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轻钢龙骨表面覆单面单层大芯板。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57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7</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LED集成吊顶灯</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1.名称：60*60LED平板灯；2.型号规格：400K,32W；3.安装形式：吸顶安装；4：成套购置、运输、安装；5.完成本项目所需的其他全部工作内容。</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8</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防火门（单开）</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樘</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甲级钢质成品防火门含五金合页，尺寸900*2100。</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9</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防火门（对开）</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樘</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甲级钢质成品防火门含五金合页，尺寸1800*2100。</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r>
              <w:rPr>
                <w:rFonts w:ascii="宋体" w:hAnsi="宋体" w:eastAsia="宋体" w:cs="宋体"/>
                <w:kern w:val="0"/>
                <w:sz w:val="22"/>
                <w:szCs w:val="22"/>
              </w:rPr>
              <w:t>0</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顶面方钢制作框架</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147.00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4*6方钢制作框架，10*10方钢制作主梁。</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57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r>
              <w:rPr>
                <w:rFonts w:ascii="宋体" w:hAnsi="宋体" w:eastAsia="宋体" w:cs="宋体"/>
                <w:kern w:val="0"/>
                <w:sz w:val="22"/>
                <w:szCs w:val="22"/>
              </w:rPr>
              <w:t>1</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踢脚线</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60.00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1.清理原墙体，用专业结构件固定，PC-02高分子踢脚线；2.工程内容：基层清理、面层铺贴、材料运输。</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r>
              <w:rPr>
                <w:rFonts w:ascii="宋体" w:hAnsi="宋体" w:eastAsia="宋体" w:cs="宋体"/>
                <w:kern w:val="0"/>
                <w:sz w:val="22"/>
                <w:szCs w:val="22"/>
              </w:rPr>
              <w:t>2</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65型材断桥铝窗户</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C60系列轻钢龙骨,中距&lt;120，窄边烤漆T骨；采用15mm厚60*60矿棉板。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r>
              <w:rPr>
                <w:rFonts w:ascii="宋体" w:hAnsi="宋体" w:eastAsia="宋体" w:cs="宋体"/>
                <w:kern w:val="0"/>
                <w:sz w:val="22"/>
                <w:szCs w:val="22"/>
              </w:rPr>
              <w:t>3</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矿棉板吊顶</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147.00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C60系列轻钢龙骨,中距&lt;120，窄边烤漆T骨；采用15mm厚60*60矿棉板。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70" w:hRule="atLeast"/>
          <w:jc w:val="center"/>
        </w:trPr>
        <w:tc>
          <w:tcPr>
            <w:tcW w:w="1337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二、功能区域二</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133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地面项目</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水泥自流平</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147.00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1.基层处理。2.涂界面剂。3.水泥自流平进行找平。</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237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环氧地坪漆</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147.00 </w:t>
            </w:r>
          </w:p>
        </w:tc>
        <w:tc>
          <w:tcPr>
            <w:tcW w:w="8278"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1.打磨，吸尘。2.自流平环氧色漆镘漆1-2遍。</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13375" w:type="dxa"/>
            <w:gridSpan w:val="5"/>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墙顶面项目</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32"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23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墙面墙固</w:t>
            </w: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190.00 </w:t>
            </w:r>
          </w:p>
        </w:tc>
        <w:tc>
          <w:tcPr>
            <w:tcW w:w="8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墙面墙固</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墙面刮腻子刷乳胶漆</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190.00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1.基底处理。2.墙面打磨。3</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刷面漆两遍。</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隔断填充隔音棉</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190.00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隔断填充隔音棉。</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79"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轻钢龙骨石膏板隔断</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190.00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轻钢龙骨石膏板隔断。</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54"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隔断加方钢立柱</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35.00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10*20方钢立柱。</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2.5mm²电路改造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150.00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线铺管穿线，2.5mm²电线。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50.00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线铺管穿线，4mm²电线，主线，空调。</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地面铝合金明线槽</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50.00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地面铝合金明线槽铺设。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镀锌电线管</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150.00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直径20镀锌线管铺设。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0</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10mm²电路改造。</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1</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电缆桥架</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10*10铁质桥架铺设。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2</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配电箱</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4路配电箱，总闸一路，照明一路，插座一路。</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3</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漏电保护器</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4.00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C63双P漏保一个，C32单P空开2个，C20单P空开1个。</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4</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插座、控制面板</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23.00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15个五孔电源，5个网线插座，2个单路灯路控制开关，1个空调电源。</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5</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弱电改造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5个工位网线端口，超六类网线，线铺管穿线。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57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6</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LED集成吊顶灯</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1.名称：60*60LED平板灯；2.型号规格：400K,32W；3.安装形式：吸顶安装；4：成套购置、运输、安装；5.完成本项目所需的其他全部工作内容。</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7</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防火门（单开）</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樘</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甲级钢质成品防火门含五金合页，尺寸900*2100。</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8</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防火门（对开）</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樘</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甲级钢质成品防火门含五金合页，尺寸1800*2100。</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9</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顶面方钢制作框架</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147.00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4*6方钢制作框架，10*10方钢制作主梁。</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57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r>
              <w:rPr>
                <w:rFonts w:ascii="宋体" w:hAnsi="宋体" w:eastAsia="宋体" w:cs="宋体"/>
                <w:kern w:val="0"/>
                <w:sz w:val="22"/>
                <w:szCs w:val="22"/>
              </w:rPr>
              <w:t>0</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踢脚线</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60.00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1.清理原墙体，用专业结构件固定，PC-02高分子踢脚线；2.工程内容：基层清理、面层铺贴、材料运输。</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r>
              <w:rPr>
                <w:rFonts w:ascii="宋体" w:hAnsi="宋体" w:eastAsia="宋体" w:cs="宋体"/>
                <w:kern w:val="0"/>
                <w:sz w:val="22"/>
                <w:szCs w:val="22"/>
              </w:rPr>
              <w:t>1</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65型材断桥铝窗户</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C60系列轻钢龙骨,中距&lt;120，窄边烤漆T骨；采用15mm厚60*60矿棉板。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70" w:hRule="atLeast"/>
          <w:jc w:val="center"/>
        </w:trPr>
        <w:tc>
          <w:tcPr>
            <w:tcW w:w="1337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四、功能区域三</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133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地面项目</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水泥自流平</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147.00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1.基层处理。2.涂界面剂。3.水泥自流平进行找平。</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237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环氧地坪漆</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147.00 </w:t>
            </w:r>
          </w:p>
        </w:tc>
        <w:tc>
          <w:tcPr>
            <w:tcW w:w="8278"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1.打磨，吸尘。2.自流平环氧色漆镘漆1-2遍。</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13375" w:type="dxa"/>
            <w:gridSpan w:val="5"/>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墙顶面项目</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23"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23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墙面墙固</w:t>
            </w: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190.00 </w:t>
            </w:r>
          </w:p>
        </w:tc>
        <w:tc>
          <w:tcPr>
            <w:tcW w:w="8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墙面墙固</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墙面刮腻子刷乳胶漆</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190.00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1.基底处理。2.墙面打磨。3</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刷面漆两遍。</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178"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轻钢龙骨石膏板隔断</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190.00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轻钢龙骨石膏板隔断。</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隔断填充隔音棉</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190.00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防火隔音棉填充。</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背景墙加单面大芯板</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59.00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轻钢龙骨表面覆单面单层大芯板。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2.5mm²电路改造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150.00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线铺管穿线，2.5mm²电线。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50.00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线铺管穿线，4mm²电线，主线，空调。</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地面铝合金明线槽</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50.00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地面铝合金明线槽铺设。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镀锌电线管</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150.00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直径20镀锌线管铺设。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0</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配电箱5*10，rvv/vvr三相五线铜芯电缆布线。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1</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电缆桥架</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10*10铁质桥架铺设。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2</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配电箱</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4路配电箱，总闸一路，照明一路，插座一路。</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3</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漏电保护器</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4.00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C63双P漏保一个，C32单P空开2个，C20单P空开1个。</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4</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插座、控制面板</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23.00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15个五孔电源，5个网线插座，2个单路灯路控制开关，1个空调电源。</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5</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弱电改造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5个工位网线端口，超六类网线，线铺管穿线。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57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6</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LED集成吊顶灯</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1.名称：60*60LED平板灯；2.型号规格：400K,32W；3.安装形式：吸顶安装；4：成套购置、运输、安装；5.完成本项目所需的其他全部工作内容。</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7</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顶面方钢制作框架</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147.00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4*6方钢制作框架，10*10方钢制作主梁</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57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8</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踢脚线</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60.00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1.清理原墙体，用专业结构件固定，PC-02高分子踢脚线；2.工程内容：基层清理、面层铺贴、材料运输。</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9</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矿棉板吊顶</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147.00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C60系列轻钢龙骨,中距&lt;120，窄边烤漆T骨；采用15mm厚60*60矿棉板。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r>
              <w:rPr>
                <w:rFonts w:ascii="宋体" w:hAnsi="宋体" w:eastAsia="宋体" w:cs="宋体"/>
                <w:kern w:val="0"/>
                <w:sz w:val="22"/>
                <w:szCs w:val="22"/>
              </w:rPr>
              <w:t>0</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65型材断桥铝窗户</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C60系列轻钢龙骨,中距&lt;120，窄边烤漆T骨；采用15mm厚60*60矿棉板。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r>
              <w:rPr>
                <w:rFonts w:ascii="宋体" w:hAnsi="宋体" w:eastAsia="宋体" w:cs="宋体"/>
                <w:kern w:val="0"/>
                <w:sz w:val="22"/>
                <w:szCs w:val="22"/>
              </w:rPr>
              <w:t>1</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防火门（单开）</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樘</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甲级钢质成品防火门含五金合页，尺寸900*2100。</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r>
              <w:rPr>
                <w:rFonts w:ascii="宋体" w:hAnsi="宋体" w:eastAsia="宋体" w:cs="宋体"/>
                <w:kern w:val="0"/>
                <w:sz w:val="22"/>
                <w:szCs w:val="22"/>
              </w:rPr>
              <w:t>2</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防火门（对开）</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樘</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甲级钢质成品防火门含五金合页，尺寸1800*2100。</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70" w:hRule="atLeast"/>
          <w:jc w:val="center"/>
        </w:trPr>
        <w:tc>
          <w:tcPr>
            <w:tcW w:w="1337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五、教室外墙</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23"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墙面墙固</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316.00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墙面墙固</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57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踢脚线</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1.清理原墙体，用专业结构件固定，PC-02高分子踢脚线；2.工程内容：基层清理、面层铺贴、材料运输。</w:t>
            </w:r>
          </w:p>
        </w:tc>
        <w:tc>
          <w:tcPr>
            <w:tcW w:w="326" w:type="dxa"/>
            <w:vAlign w:val="center"/>
          </w:tcPr>
          <w:p>
            <w:pPr>
              <w:widowControl/>
              <w:jc w:val="left"/>
              <w:rPr>
                <w:rFonts w:ascii="宋体" w:hAnsi="宋体" w:eastAsia="宋体" w:cs="Times New Roman"/>
                <w:kern w:val="0"/>
                <w:sz w:val="22"/>
                <w:szCs w:val="22"/>
              </w:rPr>
            </w:pPr>
            <w:r>
              <w:rPr>
                <w:rFonts w:hint="eastAsia" w:ascii="宋体" w:hAnsi="宋体" w:eastAsia="宋体" w:cs="宋体"/>
                <w:kern w:val="0"/>
                <w:sz w:val="22"/>
                <w:szCs w:val="22"/>
              </w:rPr>
              <w:t>4</w:t>
            </w: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墙面刮腻子刷乳胶漆</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316.00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1.基底处理。2</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墙面打磨。3</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刷面漆两遍。</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70" w:hRule="atLeast"/>
          <w:jc w:val="center"/>
        </w:trPr>
        <w:tc>
          <w:tcPr>
            <w:tcW w:w="1337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六、功能区域四</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133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地面项目</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水泥自流平</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42.00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1.基层处理。2.涂界面剂。3.水泥自流平进行找平。</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237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环氧地坪漆</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42.00 </w:t>
            </w:r>
          </w:p>
        </w:tc>
        <w:tc>
          <w:tcPr>
            <w:tcW w:w="8278"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1.打磨，吸尘。2.自流平环氧色漆镘漆1-2遍。</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13375" w:type="dxa"/>
            <w:gridSpan w:val="5"/>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墙顶面项目</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320"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23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墙面墙固</w:t>
            </w: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98.00 </w:t>
            </w:r>
          </w:p>
        </w:tc>
        <w:tc>
          <w:tcPr>
            <w:tcW w:w="8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墙面墙固</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墙面刮腻子刷乳胶漆</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98.00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1.基底处理。2</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墙面打磨。3</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刷面漆两遍。</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57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轻钢龙骨石膏板隔断</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98.00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轻钢龙骨石膏板隔断。</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隔断填充隔音棉</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98.00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防火隔音棉填充。</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57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LED集成吊顶灯</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1.名称：60*60LED平板灯；2.型号规格：400K,32W；3.安装形式：吸顶安装；4：成套购置、运输、安装；5.完成本项目所需的其他全部工作内容。</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顶面方钢制作框架</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42.00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4*6方钢制作框架，10*10方钢制作主梁。</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2.5mm²电路改造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120.00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线铺管穿线，2.5mm²电线。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线铺管穿线，4mm²电线，主线，空调。</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地面铝合金明线槽</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60.00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地面铝合金明线槽铺设。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0</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镀锌电线管</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90.00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直径20镀锌线管铺设。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1</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10mm²电路改造</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2</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电缆桥架</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10*10铁质桥架铺设。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3</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配电箱</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4路配电箱，总闸一路，照明一路，插座一路。</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4</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漏电保护器</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4.00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C63双P漏保一个，C32单P空开2个，C20单P空开1个。</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5</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插座、控制面板</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18.00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10个五孔电源，5个网线插座，2个单路灯路控制开关，1个空调电源。</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6</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弱电改造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5个工位网线端口，超六类网线，线铺管穿线。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7</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矿棉板吊顶</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42.00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C60系列轻钢龙骨,中距&lt;120，窄边烤漆T骨；采用15mm厚60*60矿棉板。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57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8</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踢脚线</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1.清理原墙体，用专业结构件固定，PC-02高分子踢脚线；2.工程内容：基层清理、面层铺贴、材料运输。</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9</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防火门（单开）</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樘</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甲级钢质成品防火门含五金合页，尺寸900*2100。</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70" w:hRule="atLeast"/>
          <w:jc w:val="center"/>
        </w:trPr>
        <w:tc>
          <w:tcPr>
            <w:tcW w:w="1337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七、功能区域五</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13375" w:type="dxa"/>
            <w:gridSpan w:val="5"/>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墙顶面项目</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41"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23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墙面墙固</w:t>
            </w:r>
          </w:p>
        </w:tc>
        <w:tc>
          <w:tcPr>
            <w:tcW w:w="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99.00 </w:t>
            </w:r>
          </w:p>
        </w:tc>
        <w:tc>
          <w:tcPr>
            <w:tcW w:w="827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1.</w:t>
            </w:r>
            <w:r>
              <w:rPr>
                <w:rFonts w:hint="eastAsia" w:ascii="宋体" w:hAnsi="宋体" w:eastAsia="宋体" w:cs="宋体"/>
                <w:color w:val="000000"/>
                <w:kern w:val="0"/>
                <w:sz w:val="22"/>
                <w:szCs w:val="22"/>
              </w:rPr>
              <w:t>墙面墙固</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墙面刮腻子刷乳胶漆</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99.00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1.基底处理。2</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墙面打磨。3</w:t>
            </w:r>
            <w:r>
              <w:rPr>
                <w:rFonts w:ascii="宋体" w:hAnsi="宋体" w:eastAsia="宋体" w:cs="宋体"/>
                <w:color w:val="000000"/>
                <w:kern w:val="0"/>
                <w:sz w:val="22"/>
                <w:szCs w:val="22"/>
              </w:rPr>
              <w:t>.</w:t>
            </w:r>
            <w:r>
              <w:rPr>
                <w:rFonts w:hint="eastAsia" w:ascii="宋体" w:hAnsi="宋体" w:eastAsia="宋体" w:cs="宋体"/>
                <w:color w:val="000000"/>
                <w:kern w:val="0"/>
                <w:sz w:val="22"/>
                <w:szCs w:val="22"/>
              </w:rPr>
              <w:t>刷面漆两遍。</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307"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轻钢龙骨石膏板隔断</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67.00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轻钢龙骨石膏板隔断。</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隔断填充隔音棉</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67.00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防火隔音棉填充。</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2.5mm²电路改造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线铺管穿线，2.5mm²电线。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50.00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线铺管穿线，4mm²电线，主线，空调。</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地面铝合金明线槽</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60.00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地面铝合金明线槽铺设。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镀锌电线管</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90.00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直径20镀锌线管铺设。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9</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10mm²电路改造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10mm²电路改造</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0</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电缆桥架</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10*10铁质桥架铺设。</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1</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配电箱</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4路配电箱，总闸一路，照明一路，插座一路。</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2</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漏电保护器</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4.00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C63双P漏保一个，C32单P空开2个，C20单P空开1个。</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3</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插座、控制面板</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18.00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10个五孔电源，5个网线插座，2个单路灯路控制开关，1个空调电源。</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4</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弱电改造</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5个工位网线端口，超六类网线，线铺管穿线。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57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5</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LED集成吊顶灯</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1.名称：60*60LED平板灯；2.型号规格：400K,32W；3.安装形式：吸顶安装；4：成套购置、运输、安装；5.完成本项目所需的其他全部工作内容。</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6</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矿棉板吊顶</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42.00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1.C60系列轻钢龙骨,中距&lt;120，窄边烤漆T骨；2.采用15mm厚60*60矿棉板。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7</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防火门（单开）</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樘</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甲级钢质成品防火门含五金合页，尺寸900*2100。</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570"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8</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踢脚线</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30.00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1.清理原墙体，用专业结构件固定，PC-02高分子踢脚线；2.工程内容：基层清理、面层铺贴、材料运输。</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r>
              <w:rPr>
                <w:rFonts w:ascii="宋体" w:hAnsi="宋体" w:eastAsia="宋体" w:cs="宋体"/>
                <w:kern w:val="0"/>
                <w:sz w:val="22"/>
                <w:szCs w:val="22"/>
              </w:rPr>
              <w:t>9</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65型材断桥铝窗户</w:t>
            </w:r>
          </w:p>
        </w:tc>
        <w:tc>
          <w:tcPr>
            <w:tcW w:w="7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 xml:space="preserve">15.00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C60系列轻钢龙骨,中距&lt;120，窄边烤漆T骨；采用15mm厚60*60矿棉板。</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r>
              <w:rPr>
                <w:rFonts w:ascii="宋体" w:hAnsi="宋体" w:eastAsia="宋体" w:cs="宋体"/>
                <w:kern w:val="0"/>
                <w:sz w:val="22"/>
                <w:szCs w:val="22"/>
              </w:rPr>
              <w:t>0</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办公室柜式新风系统</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2.00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全热交换器，杀菌除臭除甲醛pm2.5过滤，双向流柜式新风机。</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八</w:t>
            </w:r>
          </w:p>
        </w:tc>
        <w:tc>
          <w:tcPr>
            <w:tcW w:w="12656"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其他项目</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484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安全文明施工措施费</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1710.00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环境保费：是指施工现场为达到环保部门要求所需要的各项费用。包括施工现场为保持工地清洁、控制扬尘、杜绝废弃物与材料运输中的遗洒、保证排水设施通畅、设置密闭式垃圾站、实现施工垃圾与生活垃圾分类存放等环保措施而发生的费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文明施工费：是指施工现场文明施工所需要的各项费用。包括根据相关规定在施工现场设置企业标志、七牌一图、安全警示标志牌、施工现场围挡以及符合场容场貌、材料堆放、现场防火等要求采取相应措施所发生的费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安全施工费：是指施工现场安全施工所需要的各项费用。包括根据相关规定设置“四口五临边”安全防护设施、现场物料提升架与卸料平台的安全防护设施、垂直交叉作业与高空作业安全防护设施、现场设置安防监控系统设施、现场机械设备包括电动工具）的安全保护与作业场所和临时安全疏散通道的安全照明与警示设施等所发生的费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临时设施费：是指施工企业为进行城市轨道交通工程所必须搭设的生活和生产用的临时建筑物、构筑物和其他临时设施的费用等，包括施工现场临时宿舍、文化福利及公共事业房屋与构筑物、仓库、办公室、加工厂、工地实验室以及规定范围内的道路、水、电、管线等临时设施和小型临时设施等的搭设、维修、拆除、周转或摊销等费用。</w:t>
            </w:r>
          </w:p>
        </w:tc>
        <w:tc>
          <w:tcPr>
            <w:tcW w:w="326" w:type="dxa"/>
            <w:vAlign w:val="center"/>
          </w:tcPr>
          <w:p>
            <w:pPr>
              <w:widowControl/>
              <w:jc w:val="left"/>
              <w:rPr>
                <w:rFonts w:ascii="宋体" w:hAnsi="宋体" w:eastAsia="宋体" w:cs="Times New Roman"/>
                <w:kern w:val="0"/>
                <w:sz w:val="22"/>
                <w:szCs w:val="22"/>
              </w:rPr>
            </w:pPr>
          </w:p>
        </w:tc>
      </w:tr>
      <w:tr>
        <w:tblPrEx>
          <w:tblCellMar>
            <w:top w:w="0" w:type="dxa"/>
            <w:left w:w="108" w:type="dxa"/>
            <w:bottom w:w="0" w:type="dxa"/>
            <w:right w:w="108" w:type="dxa"/>
          </w:tblCellMar>
        </w:tblPrEx>
        <w:trPr>
          <w:trHeight w:val="285" w:hRule="atLeast"/>
          <w:jc w:val="center"/>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23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超高施工措施费</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1710.00 </w:t>
            </w:r>
          </w:p>
        </w:tc>
        <w:tc>
          <w:tcPr>
            <w:tcW w:w="82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超高施工措施费：施工现场超高使用满搭脚手架，租用升降车经行施工。</w:t>
            </w:r>
          </w:p>
        </w:tc>
        <w:tc>
          <w:tcPr>
            <w:tcW w:w="326" w:type="dxa"/>
            <w:vAlign w:val="center"/>
          </w:tcPr>
          <w:p>
            <w:pPr>
              <w:widowControl/>
              <w:jc w:val="left"/>
              <w:rPr>
                <w:rFonts w:ascii="宋体" w:hAnsi="宋体" w:eastAsia="宋体" w:cs="Times New Roman"/>
                <w:kern w:val="0"/>
                <w:sz w:val="22"/>
                <w:szCs w:val="22"/>
              </w:rPr>
            </w:pPr>
          </w:p>
        </w:tc>
      </w:tr>
    </w:tbl>
    <w:p>
      <w:pPr>
        <w:spacing w:line="360" w:lineRule="auto"/>
        <w:rPr>
          <w:rFonts w:ascii="宋体" w:hAnsi="宋体" w:eastAsia="宋体" w:cs="Times New Roman"/>
          <w:color w:val="auto"/>
          <w:sz w:val="24"/>
        </w:rPr>
      </w:pPr>
      <w:bookmarkStart w:id="1" w:name="_GoBack"/>
      <w:bookmarkEnd w:id="1"/>
    </w:p>
    <w:p>
      <w:pPr>
        <w:spacing w:line="360" w:lineRule="auto"/>
        <w:rPr>
          <w:rFonts w:ascii="宋体" w:hAnsi="宋体" w:eastAsia="宋体"/>
          <w:color w:val="auto"/>
          <w:sz w:val="24"/>
        </w:rPr>
      </w:pPr>
    </w:p>
    <w:p>
      <w:pPr>
        <w:spacing w:line="360" w:lineRule="auto"/>
        <w:ind w:firstLine="480" w:firstLineChars="200"/>
        <w:rPr>
          <w:rFonts w:ascii="宋体" w:hAnsi="宋体"/>
          <w:sz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xYmJjOTBiYjk2N2Q0YWY2ZGQ0OWJiNWY4OTkwYjMifQ=="/>
  </w:docVars>
  <w:rsids>
    <w:rsidRoot w:val="00DB3902"/>
    <w:rsid w:val="00011E71"/>
    <w:rsid w:val="000247DC"/>
    <w:rsid w:val="00032AEE"/>
    <w:rsid w:val="00045631"/>
    <w:rsid w:val="00047765"/>
    <w:rsid w:val="00071693"/>
    <w:rsid w:val="00082144"/>
    <w:rsid w:val="000A1124"/>
    <w:rsid w:val="000A2D6B"/>
    <w:rsid w:val="000A6FE9"/>
    <w:rsid w:val="000C184F"/>
    <w:rsid w:val="000E200F"/>
    <w:rsid w:val="000E2EAA"/>
    <w:rsid w:val="00111F73"/>
    <w:rsid w:val="0011339C"/>
    <w:rsid w:val="001335EE"/>
    <w:rsid w:val="001613CD"/>
    <w:rsid w:val="00170C09"/>
    <w:rsid w:val="00174EC0"/>
    <w:rsid w:val="00180938"/>
    <w:rsid w:val="001D0C0D"/>
    <w:rsid w:val="001E7CF5"/>
    <w:rsid w:val="001F570F"/>
    <w:rsid w:val="00201493"/>
    <w:rsid w:val="002031F8"/>
    <w:rsid w:val="00207F8E"/>
    <w:rsid w:val="002166A2"/>
    <w:rsid w:val="00244BBF"/>
    <w:rsid w:val="002629D7"/>
    <w:rsid w:val="002632F6"/>
    <w:rsid w:val="00270221"/>
    <w:rsid w:val="00273EDE"/>
    <w:rsid w:val="002964AE"/>
    <w:rsid w:val="002966F6"/>
    <w:rsid w:val="002C4D32"/>
    <w:rsid w:val="002E3F3B"/>
    <w:rsid w:val="002E519C"/>
    <w:rsid w:val="0030157A"/>
    <w:rsid w:val="00305686"/>
    <w:rsid w:val="00306C12"/>
    <w:rsid w:val="00307178"/>
    <w:rsid w:val="00314005"/>
    <w:rsid w:val="00315235"/>
    <w:rsid w:val="00331E9D"/>
    <w:rsid w:val="0033397A"/>
    <w:rsid w:val="00335F55"/>
    <w:rsid w:val="003545AA"/>
    <w:rsid w:val="00362D9D"/>
    <w:rsid w:val="00372118"/>
    <w:rsid w:val="00382DEE"/>
    <w:rsid w:val="00397F1D"/>
    <w:rsid w:val="003B7217"/>
    <w:rsid w:val="003C716C"/>
    <w:rsid w:val="003D6EFB"/>
    <w:rsid w:val="003E19E1"/>
    <w:rsid w:val="003E7311"/>
    <w:rsid w:val="004066F8"/>
    <w:rsid w:val="00410F83"/>
    <w:rsid w:val="00412918"/>
    <w:rsid w:val="00426CB6"/>
    <w:rsid w:val="004301AE"/>
    <w:rsid w:val="00432D26"/>
    <w:rsid w:val="004459D2"/>
    <w:rsid w:val="00445F38"/>
    <w:rsid w:val="0045575F"/>
    <w:rsid w:val="0046045D"/>
    <w:rsid w:val="0046123D"/>
    <w:rsid w:val="00461D5A"/>
    <w:rsid w:val="004623EE"/>
    <w:rsid w:val="004706B8"/>
    <w:rsid w:val="00472684"/>
    <w:rsid w:val="004822DC"/>
    <w:rsid w:val="00483C3E"/>
    <w:rsid w:val="004A51A8"/>
    <w:rsid w:val="004B2706"/>
    <w:rsid w:val="004B7974"/>
    <w:rsid w:val="004D4A57"/>
    <w:rsid w:val="004E4253"/>
    <w:rsid w:val="004E5CED"/>
    <w:rsid w:val="004F0C45"/>
    <w:rsid w:val="00512661"/>
    <w:rsid w:val="00520366"/>
    <w:rsid w:val="0053425B"/>
    <w:rsid w:val="00536083"/>
    <w:rsid w:val="0053637C"/>
    <w:rsid w:val="0053700F"/>
    <w:rsid w:val="00566271"/>
    <w:rsid w:val="0057138B"/>
    <w:rsid w:val="00572F05"/>
    <w:rsid w:val="00584098"/>
    <w:rsid w:val="00584AB5"/>
    <w:rsid w:val="005C0E7E"/>
    <w:rsid w:val="005C7918"/>
    <w:rsid w:val="005D55EA"/>
    <w:rsid w:val="006073A9"/>
    <w:rsid w:val="00616E51"/>
    <w:rsid w:val="0061717F"/>
    <w:rsid w:val="0062621F"/>
    <w:rsid w:val="00626323"/>
    <w:rsid w:val="00634D3F"/>
    <w:rsid w:val="0065221A"/>
    <w:rsid w:val="00661FA0"/>
    <w:rsid w:val="00680419"/>
    <w:rsid w:val="00682E4E"/>
    <w:rsid w:val="006A0261"/>
    <w:rsid w:val="006B0B20"/>
    <w:rsid w:val="006D17C5"/>
    <w:rsid w:val="006D73C3"/>
    <w:rsid w:val="006E1B7E"/>
    <w:rsid w:val="006E64D4"/>
    <w:rsid w:val="006E7AE8"/>
    <w:rsid w:val="006F7827"/>
    <w:rsid w:val="007135F6"/>
    <w:rsid w:val="007410EF"/>
    <w:rsid w:val="007433F3"/>
    <w:rsid w:val="00762DD4"/>
    <w:rsid w:val="007777E9"/>
    <w:rsid w:val="007942EA"/>
    <w:rsid w:val="007A45E1"/>
    <w:rsid w:val="007C0D9C"/>
    <w:rsid w:val="00845E60"/>
    <w:rsid w:val="00852E9D"/>
    <w:rsid w:val="008564E6"/>
    <w:rsid w:val="00861373"/>
    <w:rsid w:val="00861EA9"/>
    <w:rsid w:val="008662DD"/>
    <w:rsid w:val="00867C1A"/>
    <w:rsid w:val="0088794F"/>
    <w:rsid w:val="00890D4A"/>
    <w:rsid w:val="008A6D81"/>
    <w:rsid w:val="008B2C13"/>
    <w:rsid w:val="008C68C8"/>
    <w:rsid w:val="008D202B"/>
    <w:rsid w:val="008D56DD"/>
    <w:rsid w:val="008F0A29"/>
    <w:rsid w:val="009161CD"/>
    <w:rsid w:val="0091671E"/>
    <w:rsid w:val="00922E8E"/>
    <w:rsid w:val="00930995"/>
    <w:rsid w:val="00933622"/>
    <w:rsid w:val="009356EC"/>
    <w:rsid w:val="00940860"/>
    <w:rsid w:val="00944537"/>
    <w:rsid w:val="009472B2"/>
    <w:rsid w:val="0094738D"/>
    <w:rsid w:val="00962C01"/>
    <w:rsid w:val="00973637"/>
    <w:rsid w:val="00990B50"/>
    <w:rsid w:val="00996DFD"/>
    <w:rsid w:val="009A25EC"/>
    <w:rsid w:val="009A48CD"/>
    <w:rsid w:val="009C42E8"/>
    <w:rsid w:val="009D6ECB"/>
    <w:rsid w:val="00A003D3"/>
    <w:rsid w:val="00A0518E"/>
    <w:rsid w:val="00A10734"/>
    <w:rsid w:val="00A21C5C"/>
    <w:rsid w:val="00A2404B"/>
    <w:rsid w:val="00A245CA"/>
    <w:rsid w:val="00A27F3F"/>
    <w:rsid w:val="00A41912"/>
    <w:rsid w:val="00A425A0"/>
    <w:rsid w:val="00A52BEC"/>
    <w:rsid w:val="00A71C25"/>
    <w:rsid w:val="00A772E5"/>
    <w:rsid w:val="00A87219"/>
    <w:rsid w:val="00AA0AF1"/>
    <w:rsid w:val="00AB098C"/>
    <w:rsid w:val="00AB17D2"/>
    <w:rsid w:val="00AB1AAA"/>
    <w:rsid w:val="00AB683B"/>
    <w:rsid w:val="00AE2D62"/>
    <w:rsid w:val="00B169E3"/>
    <w:rsid w:val="00B243BD"/>
    <w:rsid w:val="00B25CF8"/>
    <w:rsid w:val="00B462D8"/>
    <w:rsid w:val="00BA40F8"/>
    <w:rsid w:val="00BA5B1D"/>
    <w:rsid w:val="00BA7864"/>
    <w:rsid w:val="00BF4747"/>
    <w:rsid w:val="00BF4AC4"/>
    <w:rsid w:val="00C01782"/>
    <w:rsid w:val="00C07DE6"/>
    <w:rsid w:val="00C17BFA"/>
    <w:rsid w:val="00C26120"/>
    <w:rsid w:val="00C33866"/>
    <w:rsid w:val="00C44707"/>
    <w:rsid w:val="00C560F1"/>
    <w:rsid w:val="00C60BAE"/>
    <w:rsid w:val="00C70AF0"/>
    <w:rsid w:val="00C75C8E"/>
    <w:rsid w:val="00C82EF1"/>
    <w:rsid w:val="00C9528F"/>
    <w:rsid w:val="00CC180E"/>
    <w:rsid w:val="00CC29E1"/>
    <w:rsid w:val="00CD3DD2"/>
    <w:rsid w:val="00CD535F"/>
    <w:rsid w:val="00CD79DA"/>
    <w:rsid w:val="00CE1F46"/>
    <w:rsid w:val="00CE576F"/>
    <w:rsid w:val="00CF3B6D"/>
    <w:rsid w:val="00D069AC"/>
    <w:rsid w:val="00D140BA"/>
    <w:rsid w:val="00D17989"/>
    <w:rsid w:val="00D32BE7"/>
    <w:rsid w:val="00D33856"/>
    <w:rsid w:val="00D359D7"/>
    <w:rsid w:val="00D440D3"/>
    <w:rsid w:val="00D477F3"/>
    <w:rsid w:val="00D5625F"/>
    <w:rsid w:val="00D655A7"/>
    <w:rsid w:val="00D838DC"/>
    <w:rsid w:val="00D874CD"/>
    <w:rsid w:val="00D90905"/>
    <w:rsid w:val="00D93A83"/>
    <w:rsid w:val="00DB3902"/>
    <w:rsid w:val="00DE5840"/>
    <w:rsid w:val="00E00018"/>
    <w:rsid w:val="00E172A8"/>
    <w:rsid w:val="00E268BE"/>
    <w:rsid w:val="00E36792"/>
    <w:rsid w:val="00E55C1F"/>
    <w:rsid w:val="00E615CF"/>
    <w:rsid w:val="00E86FD9"/>
    <w:rsid w:val="00E9518C"/>
    <w:rsid w:val="00E962A0"/>
    <w:rsid w:val="00EB01D7"/>
    <w:rsid w:val="00EC15CB"/>
    <w:rsid w:val="00ED0115"/>
    <w:rsid w:val="00EE49C6"/>
    <w:rsid w:val="00EF0A57"/>
    <w:rsid w:val="00EF73C6"/>
    <w:rsid w:val="00F11972"/>
    <w:rsid w:val="00F12DFA"/>
    <w:rsid w:val="00F435AC"/>
    <w:rsid w:val="00F455DB"/>
    <w:rsid w:val="00F50D93"/>
    <w:rsid w:val="00F73D28"/>
    <w:rsid w:val="00F873E2"/>
    <w:rsid w:val="00FA74C9"/>
    <w:rsid w:val="00FB491C"/>
    <w:rsid w:val="00FB5278"/>
    <w:rsid w:val="00FC126E"/>
    <w:rsid w:val="00FF1901"/>
    <w:rsid w:val="00FF5BB9"/>
    <w:rsid w:val="033C5D9A"/>
    <w:rsid w:val="035F00E8"/>
    <w:rsid w:val="040A6EDF"/>
    <w:rsid w:val="055C5779"/>
    <w:rsid w:val="06177621"/>
    <w:rsid w:val="0748743B"/>
    <w:rsid w:val="07BC60B3"/>
    <w:rsid w:val="08204893"/>
    <w:rsid w:val="08975BC4"/>
    <w:rsid w:val="0A7C36A2"/>
    <w:rsid w:val="0B7078E0"/>
    <w:rsid w:val="0C321039"/>
    <w:rsid w:val="0CBE28CD"/>
    <w:rsid w:val="0E1A3B33"/>
    <w:rsid w:val="0E76520D"/>
    <w:rsid w:val="0EDC7727"/>
    <w:rsid w:val="0F2129D7"/>
    <w:rsid w:val="0F8C3EE6"/>
    <w:rsid w:val="0FE4089C"/>
    <w:rsid w:val="10E70CF6"/>
    <w:rsid w:val="129D16A4"/>
    <w:rsid w:val="142E2A66"/>
    <w:rsid w:val="144742E2"/>
    <w:rsid w:val="149A57BD"/>
    <w:rsid w:val="14A14FAE"/>
    <w:rsid w:val="15083BB7"/>
    <w:rsid w:val="153507A7"/>
    <w:rsid w:val="15576593"/>
    <w:rsid w:val="17092D7A"/>
    <w:rsid w:val="171B54BE"/>
    <w:rsid w:val="17953DB0"/>
    <w:rsid w:val="17ED4832"/>
    <w:rsid w:val="18581E27"/>
    <w:rsid w:val="18A4506D"/>
    <w:rsid w:val="18DE2E43"/>
    <w:rsid w:val="198F1879"/>
    <w:rsid w:val="1AAA6720"/>
    <w:rsid w:val="1AFC4CEC"/>
    <w:rsid w:val="1B1F09DB"/>
    <w:rsid w:val="1C7941EA"/>
    <w:rsid w:val="1CD64B56"/>
    <w:rsid w:val="1DA8335E"/>
    <w:rsid w:val="1EF8649C"/>
    <w:rsid w:val="1F0D396C"/>
    <w:rsid w:val="1FA96DA6"/>
    <w:rsid w:val="216361B0"/>
    <w:rsid w:val="216D6944"/>
    <w:rsid w:val="21CD7879"/>
    <w:rsid w:val="22F547E2"/>
    <w:rsid w:val="22FE3644"/>
    <w:rsid w:val="2329611F"/>
    <w:rsid w:val="23512A47"/>
    <w:rsid w:val="25F77567"/>
    <w:rsid w:val="26265313"/>
    <w:rsid w:val="26D06340"/>
    <w:rsid w:val="26DA50C0"/>
    <w:rsid w:val="27C46B92"/>
    <w:rsid w:val="29F63C06"/>
    <w:rsid w:val="2AB70C30"/>
    <w:rsid w:val="2B1E53A8"/>
    <w:rsid w:val="2CA84CAA"/>
    <w:rsid w:val="2D687FBF"/>
    <w:rsid w:val="2E3305CD"/>
    <w:rsid w:val="2FA87D65"/>
    <w:rsid w:val="30D836AE"/>
    <w:rsid w:val="30EE230F"/>
    <w:rsid w:val="31630AFD"/>
    <w:rsid w:val="31E02532"/>
    <w:rsid w:val="3209138A"/>
    <w:rsid w:val="32E91BA2"/>
    <w:rsid w:val="33F754AE"/>
    <w:rsid w:val="34B87719"/>
    <w:rsid w:val="35AB382B"/>
    <w:rsid w:val="36380CE0"/>
    <w:rsid w:val="36714388"/>
    <w:rsid w:val="36B23443"/>
    <w:rsid w:val="382F43FF"/>
    <w:rsid w:val="383A1992"/>
    <w:rsid w:val="38912BFC"/>
    <w:rsid w:val="38AC52A3"/>
    <w:rsid w:val="3AAF5DDB"/>
    <w:rsid w:val="3AD92F0E"/>
    <w:rsid w:val="3AE960B8"/>
    <w:rsid w:val="3B176FF3"/>
    <w:rsid w:val="3B2E324E"/>
    <w:rsid w:val="3B815C51"/>
    <w:rsid w:val="3C0A10AE"/>
    <w:rsid w:val="3C836BC3"/>
    <w:rsid w:val="3D5442EF"/>
    <w:rsid w:val="3DA52992"/>
    <w:rsid w:val="3DF3356D"/>
    <w:rsid w:val="3E46434D"/>
    <w:rsid w:val="3F89227B"/>
    <w:rsid w:val="403E177F"/>
    <w:rsid w:val="40813E01"/>
    <w:rsid w:val="40C854ED"/>
    <w:rsid w:val="40F053F7"/>
    <w:rsid w:val="41831414"/>
    <w:rsid w:val="433C618D"/>
    <w:rsid w:val="43B70EF0"/>
    <w:rsid w:val="4472381D"/>
    <w:rsid w:val="44B71D00"/>
    <w:rsid w:val="458F17FE"/>
    <w:rsid w:val="466730B2"/>
    <w:rsid w:val="47E25AD0"/>
    <w:rsid w:val="47F941DE"/>
    <w:rsid w:val="49366D6C"/>
    <w:rsid w:val="49F9689A"/>
    <w:rsid w:val="4B386DCB"/>
    <w:rsid w:val="4B48346B"/>
    <w:rsid w:val="4B880B9F"/>
    <w:rsid w:val="4F8B1BBF"/>
    <w:rsid w:val="4FE61DD4"/>
    <w:rsid w:val="4FF41294"/>
    <w:rsid w:val="52405776"/>
    <w:rsid w:val="528F7C18"/>
    <w:rsid w:val="537961D3"/>
    <w:rsid w:val="53927BD7"/>
    <w:rsid w:val="544B7B6F"/>
    <w:rsid w:val="54A11E85"/>
    <w:rsid w:val="555F0C69"/>
    <w:rsid w:val="559368D4"/>
    <w:rsid w:val="55A91672"/>
    <w:rsid w:val="57915BBD"/>
    <w:rsid w:val="57DE59AF"/>
    <w:rsid w:val="58EE5989"/>
    <w:rsid w:val="5AEB4A50"/>
    <w:rsid w:val="5B6D2AC1"/>
    <w:rsid w:val="5BC83538"/>
    <w:rsid w:val="5C1D409F"/>
    <w:rsid w:val="5DE2101F"/>
    <w:rsid w:val="5E0C46F0"/>
    <w:rsid w:val="5E805538"/>
    <w:rsid w:val="620F67C4"/>
    <w:rsid w:val="62145A44"/>
    <w:rsid w:val="638A2D57"/>
    <w:rsid w:val="650E1662"/>
    <w:rsid w:val="66DE5151"/>
    <w:rsid w:val="6739419F"/>
    <w:rsid w:val="67EE31DB"/>
    <w:rsid w:val="689D2CBD"/>
    <w:rsid w:val="691E68CF"/>
    <w:rsid w:val="693C4933"/>
    <w:rsid w:val="69456E2B"/>
    <w:rsid w:val="697A1E07"/>
    <w:rsid w:val="6B2767AA"/>
    <w:rsid w:val="6C144961"/>
    <w:rsid w:val="6CC775E2"/>
    <w:rsid w:val="6D274616"/>
    <w:rsid w:val="6D89790B"/>
    <w:rsid w:val="6DA3231F"/>
    <w:rsid w:val="6FE72908"/>
    <w:rsid w:val="70716835"/>
    <w:rsid w:val="738F426F"/>
    <w:rsid w:val="73A26F97"/>
    <w:rsid w:val="73BA353C"/>
    <w:rsid w:val="74027DB2"/>
    <w:rsid w:val="74463314"/>
    <w:rsid w:val="75A44ED9"/>
    <w:rsid w:val="75FD49AA"/>
    <w:rsid w:val="7672653B"/>
    <w:rsid w:val="77316C41"/>
    <w:rsid w:val="77894387"/>
    <w:rsid w:val="7833711D"/>
    <w:rsid w:val="789C633C"/>
    <w:rsid w:val="79004B1D"/>
    <w:rsid w:val="7AFF2C4C"/>
    <w:rsid w:val="7B2A465B"/>
    <w:rsid w:val="7BF546E1"/>
    <w:rsid w:val="7C142DB9"/>
    <w:rsid w:val="7C2700CB"/>
    <w:rsid w:val="7D6F6BB8"/>
    <w:rsid w:val="7D9D0B8C"/>
    <w:rsid w:val="7F934024"/>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link w:val="13"/>
    <w:unhideWhenUsed/>
    <w:qFormat/>
    <w:uiPriority w:val="0"/>
    <w:pPr>
      <w:autoSpaceDE w:val="0"/>
      <w:autoSpaceDN w:val="0"/>
      <w:adjustRightInd w:val="0"/>
      <w:snapToGrid w:val="0"/>
      <w:jc w:val="left"/>
    </w:pPr>
    <w:rPr>
      <w:rFonts w:ascii="Arial" w:hAnsi="Arial" w:cs="Arial"/>
      <w:kern w:val="0"/>
      <w:sz w:val="20"/>
      <w:szCs w:val="20"/>
    </w:rPr>
  </w:style>
  <w:style w:type="paragraph" w:styleId="4">
    <w:name w:val="Balloon Text"/>
    <w:basedOn w:val="1"/>
    <w:semiHidden/>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unhideWhenUsed/>
    <w:qFormat/>
    <w:uiPriority w:val="99"/>
    <w:rPr>
      <w:color w:val="954F72"/>
      <w:u w:val="single"/>
    </w:rPr>
  </w:style>
  <w:style w:type="character" w:styleId="11">
    <w:name w:val="Hyperlink"/>
    <w:unhideWhenUsed/>
    <w:qFormat/>
    <w:uiPriority w:val="99"/>
    <w:rPr>
      <w:color w:val="0000FF"/>
      <w:u w:val="single"/>
    </w:rPr>
  </w:style>
  <w:style w:type="character" w:styleId="12">
    <w:name w:val="annotation reference"/>
    <w:unhideWhenUsed/>
    <w:qFormat/>
    <w:uiPriority w:val="0"/>
    <w:rPr>
      <w:sz w:val="21"/>
      <w:szCs w:val="21"/>
    </w:rPr>
  </w:style>
  <w:style w:type="character" w:customStyle="1" w:styleId="13">
    <w:name w:val="批注文字 字符"/>
    <w:link w:val="3"/>
    <w:qFormat/>
    <w:uiPriority w:val="0"/>
    <w:rPr>
      <w:rFonts w:ascii="Arial" w:hAnsi="Arial" w:cs="Arial"/>
    </w:rPr>
  </w:style>
  <w:style w:type="character" w:customStyle="1" w:styleId="14">
    <w:name w:val="页脚 字符"/>
    <w:link w:val="5"/>
    <w:qFormat/>
    <w:uiPriority w:val="0"/>
    <w:rPr>
      <w:kern w:val="2"/>
      <w:sz w:val="18"/>
      <w:szCs w:val="18"/>
    </w:rPr>
  </w:style>
  <w:style w:type="character" w:customStyle="1" w:styleId="15">
    <w:name w:val="页眉 字符"/>
    <w:link w:val="6"/>
    <w:qFormat/>
    <w:uiPriority w:val="0"/>
    <w:rPr>
      <w:kern w:val="2"/>
      <w:sz w:val="18"/>
      <w:szCs w:val="18"/>
    </w:rPr>
  </w:style>
  <w:style w:type="paragraph" w:customStyle="1" w:styleId="1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
    <w:name w:val="font6"/>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0">
    <w:name w:val="font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6">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0">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3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4"/>
    </w:rPr>
  </w:style>
  <w:style w:type="paragraph" w:customStyle="1" w:styleId="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4"/>
    </w:rPr>
  </w:style>
  <w:style w:type="paragraph" w:customStyle="1" w:styleId="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4"/>
    </w:rPr>
  </w:style>
  <w:style w:type="paragraph" w:customStyle="1" w:styleId="40">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2">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4"/>
    </w:rPr>
  </w:style>
  <w:style w:type="paragraph" w:customStyle="1" w:styleId="4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96"/>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5">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56">
    <w:name w:val="xl10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57">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rPr>
  </w:style>
  <w:style w:type="paragraph" w:customStyle="1" w:styleId="5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rPr>
  </w:style>
  <w:style w:type="paragraph" w:customStyle="1" w:styleId="60">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4"/>
    </w:rPr>
  </w:style>
  <w:style w:type="character" w:customStyle="1" w:styleId="61">
    <w:name w:val="font11"/>
    <w:qFormat/>
    <w:uiPriority w:val="0"/>
    <w:rPr>
      <w:rFonts w:hint="eastAsia" w:ascii="微软雅黑" w:hAnsi="微软雅黑" w:eastAsia="微软雅黑" w:cs="微软雅黑"/>
      <w:color w:val="000000"/>
      <w:sz w:val="20"/>
      <w:szCs w:val="20"/>
      <w:u w:val="none"/>
    </w:rPr>
  </w:style>
  <w:style w:type="character" w:customStyle="1" w:styleId="62">
    <w:name w:val="font21"/>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FD0FD-7BDB-4BA5-B468-BD9FAE9FE528}">
  <ds:schemaRefs/>
</ds:datastoreItem>
</file>

<file path=docProps/app.xml><?xml version="1.0" encoding="utf-8"?>
<Properties xmlns="http://schemas.openxmlformats.org/officeDocument/2006/extended-properties" xmlns:vt="http://schemas.openxmlformats.org/officeDocument/2006/docPropsVTypes">
  <Template>Normal</Template>
  <Pages>29</Pages>
  <Words>17686</Words>
  <Characters>19913</Characters>
  <Lines>66</Lines>
  <Paragraphs>18</Paragraphs>
  <TotalTime>0</TotalTime>
  <ScaleCrop>false</ScaleCrop>
  <LinksUpToDate>false</LinksUpToDate>
  <CharactersWithSpaces>20586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2022-07-04T07:52:00Z</dcterms:created>
  <dc:creator>新蜂</dc:creator>
  <cp:lastModifiedBy>编号89757</cp:lastModifiedBy>
  <cp:lastPrinted>2022-08-23T06:51:00Z</cp:lastPrinted>
  <dcterms:modified xsi:type="dcterms:W3CDTF">2022-10-28T11:33:13Z</dcterms:modified>
  <dc:title>项目需求书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262D5BBD178443F084789CFF33B47BEF</vt:lpwstr>
  </property>
</Properties>
</file>