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9D" w:rsidRPr="00A52D9D" w:rsidRDefault="00A52D9D" w:rsidP="00A52D9D">
      <w:pPr>
        <w:spacing w:line="560" w:lineRule="exact"/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 w:rsidRPr="00A52D9D">
        <w:rPr>
          <w:rFonts w:ascii="楷体" w:eastAsia="楷体" w:hAnsi="楷体" w:hint="eastAsia"/>
          <w:b/>
          <w:color w:val="000000"/>
          <w:sz w:val="32"/>
          <w:szCs w:val="32"/>
        </w:rPr>
        <w:t>天津轻工职业技术学院校园广播系统采购项目需求书</w:t>
      </w:r>
    </w:p>
    <w:p w:rsidR="00A52D9D" w:rsidRPr="00A52D9D" w:rsidRDefault="00A52D9D" w:rsidP="00A52D9D">
      <w:pPr>
        <w:pStyle w:val="a0"/>
        <w:rPr>
          <w:rFonts w:eastAsiaTheme="minorEastAsia" w:hint="eastAsia"/>
          <w:lang w:eastAsia="zh-CN"/>
        </w:rPr>
      </w:pPr>
    </w:p>
    <w:p w:rsidR="00C743CE" w:rsidRDefault="003E7B8E">
      <w:pPr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/>
          <w:color w:val="000000"/>
          <w:sz w:val="32"/>
          <w:szCs w:val="32"/>
        </w:rPr>
        <w:t>总</w:t>
      </w:r>
      <w:r>
        <w:rPr>
          <w:rFonts w:ascii="楷体" w:eastAsia="楷体" w:hAnsi="楷体"/>
          <w:color w:val="000000"/>
          <w:sz w:val="32"/>
          <w:szCs w:val="32"/>
        </w:rPr>
        <w:t>预</w:t>
      </w:r>
      <w:r>
        <w:rPr>
          <w:rFonts w:ascii="楷体" w:eastAsia="楷体" w:hAnsi="楷体" w:hint="eastAsia"/>
          <w:color w:val="000000"/>
          <w:sz w:val="32"/>
          <w:szCs w:val="32"/>
        </w:rPr>
        <w:t>（概）</w:t>
      </w:r>
      <w:r>
        <w:rPr>
          <w:rFonts w:ascii="楷体" w:eastAsia="楷体" w:hAnsi="楷体"/>
          <w:color w:val="000000"/>
          <w:sz w:val="32"/>
          <w:szCs w:val="32"/>
        </w:rPr>
        <w:t>算</w:t>
      </w:r>
      <w:r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>480000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   </w:t>
      </w:r>
    </w:p>
    <w:p w:rsidR="00C743CE" w:rsidRDefault="003E7B8E" w:rsidP="00A52D9D">
      <w:pPr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采</w:t>
      </w:r>
      <w:r>
        <w:rPr>
          <w:rFonts w:ascii="楷体" w:eastAsia="楷体" w:hAnsi="楷体" w:hint="eastAsia"/>
          <w:color w:val="000000"/>
          <w:sz w:val="32"/>
          <w:szCs w:val="32"/>
        </w:rPr>
        <w:t>购标的汇总表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1023"/>
        <w:gridCol w:w="2217"/>
        <w:gridCol w:w="1534"/>
        <w:gridCol w:w="1193"/>
        <w:gridCol w:w="1531"/>
      </w:tblGrid>
      <w:tr w:rsidR="00A52D9D" w:rsidTr="00A52D9D">
        <w:trPr>
          <w:cantSplit/>
          <w:trHeight w:val="90"/>
          <w:jc w:val="center"/>
        </w:trPr>
        <w:tc>
          <w:tcPr>
            <w:tcW w:w="601" w:type="pct"/>
            <w:vAlign w:val="center"/>
          </w:tcPr>
          <w:p w:rsidR="00A52D9D" w:rsidRDefault="00A52D9D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600" w:type="pct"/>
            <w:vAlign w:val="center"/>
          </w:tcPr>
          <w:p w:rsidR="00A52D9D" w:rsidRDefault="00A52D9D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1" w:type="pct"/>
            <w:vAlign w:val="center"/>
          </w:tcPr>
          <w:p w:rsidR="00A52D9D" w:rsidRDefault="00A52D9D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900" w:type="pct"/>
            <w:vAlign w:val="center"/>
          </w:tcPr>
          <w:p w:rsidR="00A52D9D" w:rsidRDefault="00A52D9D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计量</w:t>
            </w:r>
          </w:p>
          <w:p w:rsidR="00A52D9D" w:rsidRDefault="00A52D9D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00" w:type="pct"/>
            <w:vAlign w:val="center"/>
          </w:tcPr>
          <w:p w:rsidR="00A52D9D" w:rsidRDefault="00A52D9D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898" w:type="pct"/>
            <w:vAlign w:val="center"/>
          </w:tcPr>
          <w:p w:rsidR="00A52D9D" w:rsidRDefault="00A52D9D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预（概）算</w:t>
            </w:r>
          </w:p>
        </w:tc>
      </w:tr>
      <w:tr w:rsidR="00A52D9D" w:rsidTr="00A52D9D">
        <w:trPr>
          <w:cantSplit/>
          <w:trHeight w:val="520"/>
          <w:jc w:val="center"/>
        </w:trPr>
        <w:tc>
          <w:tcPr>
            <w:tcW w:w="601" w:type="pct"/>
            <w:vAlign w:val="center"/>
          </w:tcPr>
          <w:p w:rsidR="00A52D9D" w:rsidRDefault="00A52D9D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" w:type="pct"/>
            <w:vAlign w:val="center"/>
          </w:tcPr>
          <w:p w:rsidR="00A52D9D" w:rsidRDefault="00A52D9D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1" w:type="pct"/>
            <w:vAlign w:val="center"/>
          </w:tcPr>
          <w:p w:rsidR="00A52D9D" w:rsidRDefault="00A52D9D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i/>
                <w:color w:val="000000"/>
                <w:sz w:val="28"/>
                <w:szCs w:val="28"/>
                <w:u w:val="single"/>
              </w:rPr>
              <w:t>校园广播</w:t>
            </w:r>
          </w:p>
        </w:tc>
        <w:tc>
          <w:tcPr>
            <w:tcW w:w="900" w:type="pct"/>
            <w:vAlign w:val="center"/>
          </w:tcPr>
          <w:p w:rsidR="00A52D9D" w:rsidRDefault="00A52D9D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一批</w:t>
            </w:r>
          </w:p>
        </w:tc>
        <w:tc>
          <w:tcPr>
            <w:tcW w:w="700" w:type="pct"/>
            <w:vAlign w:val="center"/>
          </w:tcPr>
          <w:p w:rsidR="00A52D9D" w:rsidRDefault="00A52D9D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一批</w:t>
            </w:r>
          </w:p>
        </w:tc>
        <w:tc>
          <w:tcPr>
            <w:tcW w:w="898" w:type="pct"/>
            <w:vAlign w:val="center"/>
          </w:tcPr>
          <w:p w:rsidR="00A52D9D" w:rsidRDefault="00A52D9D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480000</w:t>
            </w:r>
          </w:p>
        </w:tc>
      </w:tr>
    </w:tbl>
    <w:p w:rsidR="00C743CE" w:rsidRPr="000C1AB8" w:rsidRDefault="003E7B8E">
      <w:pPr>
        <w:pStyle w:val="2"/>
        <w:spacing w:line="360" w:lineRule="auto"/>
        <w:ind w:firstLine="0"/>
        <w:jc w:val="both"/>
        <w:rPr>
          <w:rFonts w:ascii="仿宋_GB2312" w:eastAsia="仿宋_GB2312" w:hAnsi="仿宋" w:cs="Times New Roman"/>
          <w:kern w:val="2"/>
          <w:sz w:val="28"/>
          <w:szCs w:val="32"/>
          <w:lang w:val="zh-TW"/>
        </w:rPr>
      </w:pPr>
      <w:r w:rsidRPr="000C1AB8">
        <w:rPr>
          <w:rFonts w:ascii="仿宋_GB2312" w:eastAsia="仿宋_GB2312" w:hAnsi="仿宋" w:cs="Times New Roman" w:hint="eastAsia"/>
          <w:kern w:val="2"/>
          <w:sz w:val="28"/>
          <w:szCs w:val="32"/>
          <w:lang w:val="zh-TW" w:eastAsia="zh-TW"/>
        </w:rPr>
        <w:t>商</w:t>
      </w:r>
      <w:r w:rsidRPr="000C1AB8">
        <w:rPr>
          <w:rFonts w:ascii="仿宋_GB2312" w:eastAsia="仿宋_GB2312" w:hAnsi="仿宋" w:cs="Times New Roman" w:hint="eastAsia"/>
          <w:kern w:val="2"/>
          <w:sz w:val="28"/>
          <w:szCs w:val="32"/>
          <w:lang w:val="zh-TW" w:eastAsia="zh-TW"/>
        </w:rPr>
        <w:t>务要求</w:t>
      </w:r>
    </w:p>
    <w:p w:rsidR="00C743CE" w:rsidRPr="000C1AB8" w:rsidRDefault="003E7B8E">
      <w:pPr>
        <w:spacing w:line="360" w:lineRule="auto"/>
        <w:rPr>
          <w:rFonts w:ascii="仿宋_GB2312" w:eastAsia="仿宋_GB2312" w:hAnsi="仿宋" w:cs="Times New Roman"/>
          <w:color w:val="000000"/>
          <w:sz w:val="28"/>
          <w:szCs w:val="32"/>
        </w:rPr>
      </w:pP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1.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质量要求：严格按国家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/>
        </w:rPr>
        <w:t>、天津市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现行质量评定标准检查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/>
        </w:rPr>
        <w:t>验收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。</w:t>
      </w:r>
    </w:p>
    <w:p w:rsidR="00C743CE" w:rsidRPr="000C1AB8" w:rsidRDefault="003E7B8E">
      <w:pPr>
        <w:spacing w:line="360" w:lineRule="auto"/>
        <w:rPr>
          <w:rFonts w:ascii="仿宋_GB2312" w:eastAsia="仿宋_GB2312" w:hAnsi="仿宋" w:cs="Times New Roman"/>
          <w:color w:val="000000"/>
          <w:sz w:val="28"/>
          <w:szCs w:val="32"/>
          <w:lang w:val="zh-TW"/>
        </w:rPr>
      </w:pP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2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.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服务要求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/>
        </w:rPr>
        <w:t>：</w:t>
      </w:r>
    </w:p>
    <w:p w:rsidR="00C743CE" w:rsidRPr="000C1AB8" w:rsidRDefault="003E7B8E">
      <w:pPr>
        <w:spacing w:line="360" w:lineRule="auto"/>
        <w:ind w:rightChars="-82" w:right="-172" w:firstLineChars="177" w:firstLine="496"/>
        <w:rPr>
          <w:rFonts w:ascii="仿宋_GB2312" w:eastAsia="仿宋_GB2312" w:hAnsi="仿宋" w:cs="Times New Roman"/>
          <w:color w:val="000000"/>
          <w:sz w:val="28"/>
          <w:szCs w:val="32"/>
        </w:rPr>
      </w:pP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（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1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）投标人须提供所投产品至少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6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年的免费上门维修调试服务，产品质保期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2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年，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2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年内如出现质量问题，质保期内免费更换零配件。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7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×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24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小时技术响应，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12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小时内维修工程师到达维修现场，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48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小时内解决故障，如故障无法按期排除需即时提供同等配置设备，保障系统正常运行。保修期内每年至少两次上门巡检。保修期自验收合格之日起计算。</w:t>
      </w:r>
    </w:p>
    <w:p w:rsidR="00C743CE" w:rsidRPr="000C1AB8" w:rsidRDefault="003E7B8E">
      <w:pPr>
        <w:spacing w:line="360" w:lineRule="auto"/>
        <w:ind w:rightChars="-82" w:right="-172" w:firstLineChars="177" w:firstLine="496"/>
        <w:rPr>
          <w:rFonts w:ascii="仿宋_GB2312" w:eastAsia="仿宋_GB2312" w:hAnsi="仿宋" w:cs="Times New Roman"/>
          <w:color w:val="000000"/>
          <w:sz w:val="28"/>
          <w:szCs w:val="32"/>
        </w:rPr>
      </w:pP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（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3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）投标人须提供现场免费安装、调试，操作试验，直至运行正常，投标人须制定切实可行的培训方案并免费上门对采购</w:t>
      </w:r>
      <w:proofErr w:type="gramStart"/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方相关</w:t>
      </w:r>
      <w:proofErr w:type="gramEnd"/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人员进行维护方面技术培训，使受训人员学会产品</w:t>
      </w:r>
      <w:proofErr w:type="gramStart"/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简单维护</w:t>
      </w:r>
      <w:proofErr w:type="gramEnd"/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保养。货物所有技术参数经检验应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符合投标技术文件的具体指标，并且按合同规定进行验收。</w:t>
      </w:r>
    </w:p>
    <w:p w:rsidR="00C743CE" w:rsidRPr="000C1AB8" w:rsidRDefault="003E7B8E">
      <w:pPr>
        <w:spacing w:line="360" w:lineRule="auto"/>
        <w:ind w:rightChars="-82" w:right="-172" w:firstLineChars="177" w:firstLine="496"/>
        <w:rPr>
          <w:rFonts w:ascii="仿宋_GB2312" w:eastAsia="仿宋_GB2312" w:hAnsi="仿宋" w:cs="Times New Roman"/>
          <w:color w:val="000000"/>
          <w:sz w:val="28"/>
          <w:szCs w:val="32"/>
        </w:rPr>
      </w:pP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（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4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）本项目为交钥匙工程，完工直接可投入使用。项目完成后，做好卫生，现场能够直接投入使用，若未完</w:t>
      </w:r>
      <w:proofErr w:type="gramStart"/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成清理</w:t>
      </w:r>
      <w:proofErr w:type="gramEnd"/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工作与卫生，按合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lastRenderedPageBreak/>
        <w:t>同未完成处理。</w:t>
      </w:r>
    </w:p>
    <w:p w:rsidR="00C743CE" w:rsidRPr="000C1AB8" w:rsidRDefault="003E7B8E">
      <w:pPr>
        <w:spacing w:line="360" w:lineRule="auto"/>
        <w:ind w:firstLineChars="150" w:firstLine="420"/>
        <w:rPr>
          <w:rFonts w:ascii="仿宋_GB2312" w:eastAsia="仿宋_GB2312" w:hAnsi="仿宋" w:cs="Times New Roman"/>
          <w:color w:val="000000"/>
          <w:sz w:val="28"/>
          <w:szCs w:val="32"/>
          <w:lang w:val="zh-TW"/>
        </w:rPr>
      </w:pP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3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.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/>
        </w:rPr>
        <w:t>交货要求：</w:t>
      </w:r>
    </w:p>
    <w:p w:rsidR="00C743CE" w:rsidRPr="000C1AB8" w:rsidRDefault="003E7B8E">
      <w:pPr>
        <w:tabs>
          <w:tab w:val="left" w:pos="3031"/>
        </w:tabs>
        <w:spacing w:line="360" w:lineRule="auto"/>
        <w:ind w:firstLineChars="150" w:firstLine="420"/>
        <w:rPr>
          <w:rFonts w:ascii="仿宋_GB2312" w:eastAsia="仿宋_GB2312" w:hAnsi="仿宋" w:cs="Times New Roman"/>
          <w:color w:val="000000"/>
          <w:sz w:val="28"/>
          <w:szCs w:val="32"/>
          <w:lang w:val="zh-TW"/>
        </w:rPr>
      </w:pP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（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1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）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/>
        </w:rPr>
        <w:t>交货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期：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签订合同之日起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30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日内完成全部货到及安装调试工作（特殊情况以合同为准）。</w:t>
      </w:r>
    </w:p>
    <w:p w:rsidR="00C743CE" w:rsidRPr="000C1AB8" w:rsidRDefault="003E7B8E" w:rsidP="000C1AB8">
      <w:pPr>
        <w:tabs>
          <w:tab w:val="left" w:pos="3031"/>
        </w:tabs>
        <w:spacing w:line="360" w:lineRule="auto"/>
        <w:ind w:firstLineChars="150" w:firstLine="420"/>
        <w:rPr>
          <w:rFonts w:ascii="宋体" w:hAnsi="宋体" w:cs="宋体" w:hint="eastAsia"/>
          <w:sz w:val="20"/>
        </w:rPr>
      </w:pP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（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2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val="zh-TW" w:eastAsia="zh-TW"/>
        </w:rPr>
        <w:t>）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交货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eastAsia="zh-TW"/>
        </w:rPr>
        <w:t>地点：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</w:rPr>
        <w:t>天津轻工职业技术学院中</w:t>
      </w:r>
      <w:r w:rsidRPr="000C1AB8">
        <w:rPr>
          <w:rFonts w:ascii="仿宋_GB2312" w:eastAsia="仿宋_GB2312" w:hAnsi="仿宋" w:cs="Times New Roman" w:hint="eastAsia"/>
          <w:color w:val="000000"/>
          <w:sz w:val="28"/>
          <w:szCs w:val="32"/>
          <w:lang w:eastAsia="zh-TW"/>
        </w:rPr>
        <w:t>，具体由采购人指定（特殊情况以合同为准）。</w:t>
      </w:r>
      <w:bookmarkStart w:id="0" w:name="_GoBack"/>
      <w:bookmarkEnd w:id="0"/>
    </w:p>
    <w:sectPr w:rsidR="00C743CE" w:rsidRPr="000C1A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8E" w:rsidRDefault="003E7B8E">
      <w:r>
        <w:separator/>
      </w:r>
    </w:p>
  </w:endnote>
  <w:endnote w:type="continuationSeparator" w:id="0">
    <w:p w:rsidR="003E7B8E" w:rsidRDefault="003E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A2B2314-6301-461D-9BAB-E026CE23E0F2}"/>
    <w:embedBold r:id="rId2" w:subsetted="1" w:fontKey="{9FC78A01-4A8A-4D31-AF6C-7144D629C5AC}"/>
    <w:embedItalic r:id="rId3" w:subsetted="1" w:fontKey="{4CA0FA10-E51B-450E-B0DB-60072468A35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1822C47-A229-4D8D-80CB-777958673893}"/>
    <w:embedBold r:id="rId5" w:subsetted="1" w:fontKey="{3DDCA4B4-7774-4109-9AA2-0DE653C9A7D6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6" w:subsetted="1" w:fontKey="{3AFC60E0-33F7-4ED5-A039-29AE4AD7F10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8E" w:rsidRDefault="003E7B8E">
      <w:r>
        <w:separator/>
      </w:r>
    </w:p>
  </w:footnote>
  <w:footnote w:type="continuationSeparator" w:id="0">
    <w:p w:rsidR="003E7B8E" w:rsidRDefault="003E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CE" w:rsidRDefault="00C743CE">
    <w:pPr>
      <w:pStyle w:val="a0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wOTM5MmY3YzgzZjJmZjdiZjMyY2VkYjUzMTE5ZTUifQ=="/>
  </w:docVars>
  <w:rsids>
    <w:rsidRoot w:val="7B690232"/>
    <w:rsid w:val="000C1AB8"/>
    <w:rsid w:val="003E7B8E"/>
    <w:rsid w:val="00A52D9D"/>
    <w:rsid w:val="00C743CE"/>
    <w:rsid w:val="2152641D"/>
    <w:rsid w:val="23246CB8"/>
    <w:rsid w:val="24172E68"/>
    <w:rsid w:val="272134B5"/>
    <w:rsid w:val="2BF136C9"/>
    <w:rsid w:val="2FA8411A"/>
    <w:rsid w:val="332813F2"/>
    <w:rsid w:val="3EA371F8"/>
    <w:rsid w:val="4A9F4342"/>
    <w:rsid w:val="4DDD25AE"/>
    <w:rsid w:val="4EE86CFE"/>
    <w:rsid w:val="51CB504E"/>
    <w:rsid w:val="55AB2A8A"/>
    <w:rsid w:val="5EC90456"/>
    <w:rsid w:val="71A77834"/>
    <w:rsid w:val="748E7588"/>
    <w:rsid w:val="7B690232"/>
    <w:rsid w:val="7D5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04174"/>
  <w15:docId w15:val="{BFB1DF64-C96F-4B9C-8C36-28984575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next w:val="A1"/>
    <w:qFormat/>
    <w:pPr>
      <w:keepNext/>
      <w:keepLines/>
      <w:widowControl w:val="0"/>
      <w:spacing w:line="293" w:lineRule="auto"/>
      <w:ind w:firstLine="1648"/>
      <w:outlineLvl w:val="1"/>
    </w:pPr>
    <w:rPr>
      <w:rFonts w:ascii="Arial" w:eastAsia="Arial" w:hAnsi="Arial" w:cs="Arial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autoRedefine/>
    <w:semiHidden/>
    <w:qFormat/>
    <w:rPr>
      <w:rFonts w:ascii="Arial" w:eastAsia="Arial" w:hAnsi="Arial" w:cs="Arial"/>
      <w:szCs w:val="21"/>
      <w:lang w:eastAsia="en-US"/>
    </w:rPr>
  </w:style>
  <w:style w:type="paragraph" w:customStyle="1" w:styleId="A1">
    <w:name w:val="正文 A"/>
    <w:autoRedefine/>
    <w:qFormat/>
    <w:pPr>
      <w:widowControl w:val="0"/>
      <w:spacing w:line="360" w:lineRule="auto"/>
      <w:ind w:firstLine="1648"/>
      <w:jc w:val="both"/>
    </w:pPr>
    <w:rPr>
      <w:rFonts w:eastAsia="Times New Roman"/>
      <w:color w:val="000000"/>
      <w:kern w:val="2"/>
      <w:sz w:val="24"/>
      <w:szCs w:val="24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qFormat/>
    <w:pPr>
      <w:widowControl w:val="0"/>
      <w:spacing w:line="360" w:lineRule="auto"/>
      <w:ind w:firstLine="1648"/>
      <w:jc w:val="both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8">
    <w:name w:val="Strong"/>
    <w:qFormat/>
    <w:rPr>
      <w:b/>
      <w:bCs/>
    </w:rPr>
  </w:style>
  <w:style w:type="paragraph" w:customStyle="1" w:styleId="TableText">
    <w:name w:val="Table Text"/>
    <w:basedOn w:val="a"/>
    <w:autoRedefine/>
    <w:semiHidden/>
    <w:qFormat/>
    <w:rPr>
      <w:rFonts w:ascii="仿宋" w:eastAsia="仿宋" w:hAnsi="仿宋" w:cs="仿宋"/>
      <w:sz w:val="24"/>
      <w:szCs w:val="24"/>
      <w:lang w:eastAsia="en-US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橘子活在梦里</dc:creator>
  <cp:lastModifiedBy>Administrator</cp:lastModifiedBy>
  <cp:revision>3</cp:revision>
  <cp:lastPrinted>2024-01-05T01:22:00Z</cp:lastPrinted>
  <dcterms:created xsi:type="dcterms:W3CDTF">2023-04-10T02:04:00Z</dcterms:created>
  <dcterms:modified xsi:type="dcterms:W3CDTF">2024-01-18T07:51:00Z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77662E37C8FC44FB8A21FE10302AAAB0_13</vt:lpwstr>
  </property>
</Properties>
</file>