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eastAsia="zh-CN"/>
        </w:rPr>
        <w:t>咱</w:t>
      </w:r>
      <w:r>
        <w:rPr>
          <w:rFonts w:hint="eastAsia" w:ascii="方正小标宋简体" w:hAnsi="方正小标宋简体" w:eastAsia="方正小标宋简体" w:cs="方正小标宋简体"/>
          <w:bCs/>
          <w:sz w:val="36"/>
          <w:szCs w:val="36"/>
        </w:rPr>
        <w:t>坚持和加强党的全面领导 开创高质量发展新纪元</w:t>
      </w:r>
    </w:p>
    <w:p>
      <w:pPr>
        <w:widowControl w:val="0"/>
        <w:spacing w:after="0" w:line="600" w:lineRule="exact"/>
        <w:jc w:val="center"/>
        <w:rPr>
          <w:rFonts w:ascii="仿宋_GB2312" w:hAnsi="仿宋_GB2312" w:eastAsia="仿宋_GB2312" w:cs="仿宋_GB2312"/>
          <w:kern w:val="24"/>
          <w:sz w:val="32"/>
          <w:szCs w:val="32"/>
        </w:rPr>
      </w:pPr>
      <w:r>
        <w:rPr>
          <w:rFonts w:hint="eastAsia" w:ascii="仿宋_GB2312" w:hAnsi="仿宋_GB2312" w:eastAsia="仿宋_GB2312" w:cs="仿宋_GB2312"/>
          <w:kern w:val="24"/>
          <w:sz w:val="32"/>
          <w:szCs w:val="32"/>
        </w:rPr>
        <w:t>——天津轻工职业技术学院2020年工作报告</w:t>
      </w:r>
    </w:p>
    <w:p>
      <w:pPr>
        <w:widowControl w:val="0"/>
        <w:spacing w:after="0" w:line="600" w:lineRule="exact"/>
        <w:jc w:val="center"/>
        <w:rPr>
          <w:rFonts w:ascii="仿宋_GB2312" w:hAnsi="仿宋_GB2312" w:eastAsia="仿宋_GB2312" w:cs="仿宋_GB2312"/>
          <w:kern w:val="24"/>
          <w:sz w:val="32"/>
          <w:szCs w:val="32"/>
        </w:rPr>
      </w:pPr>
      <w:r>
        <w:rPr>
          <w:rFonts w:hint="eastAsia" w:ascii="仿宋_GB2312" w:hAnsi="仿宋_GB2312" w:eastAsia="仿宋_GB2312" w:cs="仿宋_GB2312"/>
          <w:kern w:val="24"/>
          <w:sz w:val="32"/>
          <w:szCs w:val="32"/>
        </w:rPr>
        <w:t>（教代会审议稿）</w:t>
      </w:r>
    </w:p>
    <w:p>
      <w:pPr>
        <w:widowControl w:val="0"/>
        <w:spacing w:after="0" w:line="360" w:lineRule="auto"/>
        <w:jc w:val="both"/>
        <w:rPr>
          <w:rFonts w:ascii="仿宋_GB2312" w:hAnsi="仿宋_GB2312" w:eastAsia="仿宋_GB2312" w:cs="仿宋_GB2312"/>
          <w:kern w:val="24"/>
          <w:sz w:val="32"/>
          <w:szCs w:val="32"/>
        </w:rPr>
      </w:pPr>
    </w:p>
    <w:p>
      <w:pPr>
        <w:widowControl w:val="0"/>
        <w:spacing w:after="0" w:line="360" w:lineRule="auto"/>
        <w:jc w:val="both"/>
        <w:rPr>
          <w:rFonts w:ascii="仿宋_GB2312" w:hAnsi="仿宋_GB2312" w:eastAsia="仿宋_GB2312" w:cs="仿宋_GB2312"/>
          <w:bCs/>
          <w:sz w:val="32"/>
          <w:szCs w:val="32"/>
        </w:rPr>
      </w:pPr>
      <w:r>
        <w:rPr>
          <w:rFonts w:hint="eastAsia" w:ascii="仿宋_GB2312" w:hAnsi="仿宋_GB2312" w:eastAsia="仿宋_GB2312" w:cs="仿宋_GB2312"/>
          <w:kern w:val="24"/>
          <w:sz w:val="32"/>
          <w:szCs w:val="32"/>
        </w:rPr>
        <w:t>各位代表，同志们：</w:t>
      </w:r>
    </w:p>
    <w:p>
      <w:pPr>
        <w:widowControl w:val="0"/>
        <w:spacing w:after="0" w:line="360" w:lineRule="auto"/>
        <w:ind w:firstLine="640" w:firstLineChars="200"/>
        <w:jc w:val="both"/>
        <w:rPr>
          <w:rFonts w:ascii="仿宋_GB2312" w:hAnsi="仿宋_GB2312" w:eastAsia="仿宋_GB2312" w:cs="仿宋_GB2312"/>
          <w:kern w:val="24"/>
          <w:sz w:val="32"/>
          <w:szCs w:val="32"/>
        </w:rPr>
      </w:pPr>
      <w:r>
        <w:rPr>
          <w:rFonts w:hint="eastAsia" w:ascii="仿宋_GB2312" w:hAnsi="仿宋_GB2312" w:eastAsia="仿宋_GB2312" w:cs="仿宋_GB2312"/>
          <w:bCs/>
          <w:sz w:val="32"/>
          <w:szCs w:val="32"/>
        </w:rPr>
        <w:t>今天，我们召开届次教职工代表大会。下面，由我向大会做《坚持和加强党的全面领导 开创高质量发展新纪元</w:t>
      </w:r>
      <w:r>
        <w:rPr>
          <w:rFonts w:hint="eastAsia" w:ascii="仿宋_GB2312" w:hAnsi="仿宋_GB2312" w:eastAsia="仿宋_GB2312" w:cs="仿宋_GB2312"/>
          <w:kern w:val="24"/>
          <w:sz w:val="32"/>
          <w:szCs w:val="32"/>
        </w:rPr>
        <w:t>》工作报告。请各位代表予以审议。</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一、2019年工作回顾</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2019年，</w:t>
      </w:r>
      <w:r>
        <w:rPr>
          <w:rFonts w:hint="eastAsia" w:ascii="仿宋_GB2312" w:hAnsi="仿宋_GB2312" w:eastAsia="仿宋_GB2312" w:cs="仿宋_GB2312"/>
          <w:kern w:val="24"/>
          <w:sz w:val="32"/>
          <w:szCs w:val="32"/>
        </w:rPr>
        <w:t>学院</w:t>
      </w:r>
      <w:r>
        <w:rPr>
          <w:rFonts w:hint="eastAsia" w:ascii="仿宋_GB2312" w:hAnsi="仿宋_GB2312" w:eastAsia="仿宋_GB2312" w:cs="仿宋_GB2312"/>
          <w:bCs/>
          <w:sz w:val="32"/>
          <w:szCs w:val="32"/>
        </w:rPr>
        <w:t>坚持以习近平新时代中国特色社会主义思想为指导，全面贯彻党的十九大和十九届二中、三中、四中全会精神，认真落实全国教育大会和全市教育大会精神，坚决执行渤轻集团、市教育两委和海河园管委会工作部署，坚持全面从严治党，坚持社会主义办学方向，认真</w:t>
      </w:r>
      <w:r>
        <w:rPr>
          <w:rFonts w:hint="eastAsia" w:ascii="仿宋_GB2312" w:hAnsi="仿宋_GB2312" w:eastAsia="仿宋_GB2312" w:cs="仿宋_GB2312"/>
          <w:kern w:val="24"/>
          <w:sz w:val="32"/>
          <w:szCs w:val="32"/>
        </w:rPr>
        <w:t>落实立德树人根本任务，</w:t>
      </w:r>
      <w:r>
        <w:rPr>
          <w:rFonts w:hint="eastAsia" w:ascii="仿宋_GB2312" w:hAnsi="仿宋_GB2312" w:eastAsia="仿宋_GB2312" w:cs="仿宋_GB2312"/>
          <w:bCs/>
          <w:sz w:val="32"/>
          <w:szCs w:val="32"/>
        </w:rPr>
        <w:t>以争创国家“双高校”为主线，主动服务区域经济发展，不断深化产教融合、校企合作，提高人才培养质量，2019年5月被教育部认定为“国家优质专科高等职业院校”。学院主动服务国家京津冀协同发展战略和“一带一路”倡议，不断提升国际化办学能力，非洲埃及两个鲁班工坊建设任务如期完成，</w:t>
      </w:r>
      <w:r>
        <w:rPr>
          <w:rFonts w:hint="eastAsia" w:ascii="仿宋_GB2312" w:hAnsi="仿宋_GB2312" w:eastAsia="仿宋_GB2312" w:cs="仿宋_GB2312"/>
          <w:bCs/>
          <w:kern w:val="24"/>
          <w:sz w:val="32"/>
          <w:szCs w:val="32"/>
        </w:rPr>
        <w:t>2019年被市教委确定为天津市来华留学工作学校。学院持续开展学生创新创业教育，</w:t>
      </w:r>
      <w:r>
        <w:rPr>
          <w:rFonts w:hint="eastAsia" w:ascii="仿宋_GB2312" w:hAnsi="仿宋_GB2312" w:eastAsia="仿宋_GB2312" w:cs="仿宋_GB2312"/>
          <w:bCs/>
          <w:sz w:val="32"/>
          <w:szCs w:val="32"/>
        </w:rPr>
        <w:t>2019年参赛项目在中国“互联网+”大学生创新创业大赛首届职教赛道比赛一举夺得金奖，实现“互联网+”国赛奖项零的突破。学院积极开展文明学校建设，市文明办、市教育工委、市教委已公示我院为2019年天津市文明校园先进学校创建单位。2019年学院在全校教职工共同努力下，圆满完成年度各项工作目标，12月成功入选教育部、财政部《中国特色高水平高职学校和专业建设计划》建设单位，昂首迈入国家56所“双高校”建设行列。</w:t>
      </w:r>
    </w:p>
    <w:p>
      <w:pPr>
        <w:widowControl w:val="0"/>
        <w:shd w:val="clear" w:color="auto" w:fill="FFFFFF"/>
        <w:spacing w:after="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24"/>
          <w:sz w:val="32"/>
          <w:szCs w:val="32"/>
        </w:rPr>
        <w:t>（一）</w:t>
      </w:r>
      <w:r>
        <w:rPr>
          <w:rFonts w:hint="eastAsia" w:ascii="仿宋_GB2312" w:hAnsi="仿宋_GB2312" w:eastAsia="仿宋_GB2312" w:cs="仿宋_GB2312"/>
          <w:b/>
          <w:sz w:val="32"/>
          <w:szCs w:val="32"/>
        </w:rPr>
        <w:t>深入学习贯彻习近平新时代中国特色社会主义思想，统领学院创新发展</w:t>
      </w:r>
    </w:p>
    <w:p>
      <w:pPr>
        <w:widowControl w:val="0"/>
        <w:shd w:val="clear" w:color="auto" w:fill="FFFFFF"/>
        <w:spacing w:after="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1.开展“不忘初心、牢记使命”主题教育，强化理想信念教育</w:t>
      </w:r>
    </w:p>
    <w:p>
      <w:pPr>
        <w:widowControl w:val="0"/>
        <w:spacing w:after="0" w:line="360" w:lineRule="auto"/>
        <w:ind w:firstLine="640" w:firstLineChars="200"/>
        <w:jc w:val="both"/>
        <w:rPr>
          <w:rStyle w:val="11"/>
          <w:rFonts w:ascii="仿宋_GB2312" w:hAnsi="仿宋_GB2312" w:eastAsia="仿宋_GB2312" w:cs="仿宋_GB2312"/>
          <w:b/>
          <w:color w:val="auto"/>
          <w:sz w:val="32"/>
          <w:szCs w:val="32"/>
        </w:rPr>
      </w:pPr>
      <w:r>
        <w:rPr>
          <w:rFonts w:hint="eastAsia" w:ascii="仿宋_GB2312" w:hAnsi="仿宋_GB2312" w:eastAsia="仿宋_GB2312" w:cs="仿宋_GB2312"/>
          <w:sz w:val="32"/>
          <w:szCs w:val="32"/>
        </w:rPr>
        <w:t>学院党委坚持把学习贯彻习近平新时代中国特色社会主义思想作为首要任务，扎实开展“不忘初心、牢记使命”主题教育，在高标准完成规定动作的基础上，延长研讨时间，增加与职教相关学习内容，编印《口袋书》；调研课题注重问题导向，班子认领6个调研课题均来自基层，并主动提出固化调研制度。党员干部带头解决难点问题6个、整改34项、完善制度14个，提升了服务基层的效果。院党委修订了中心组学习制度，全年举办集中学习13次，党员干部带头深入党支部宣讲十九届四中全会精神7次，切实引导全院树牢“四个意识”、坚定“四个自信”、坚决做到“两个维护”。</w:t>
      </w:r>
    </w:p>
    <w:p>
      <w:pPr>
        <w:widowControl w:val="0"/>
        <w:spacing w:after="0" w:line="360" w:lineRule="auto"/>
        <w:ind w:firstLine="643" w:firstLineChars="200"/>
        <w:rPr>
          <w:rStyle w:val="11"/>
          <w:rFonts w:ascii="仿宋_GB2312" w:hAnsi="仿宋_GB2312" w:eastAsia="仿宋_GB2312" w:cs="仿宋_GB2312"/>
          <w:b/>
          <w:color w:val="auto"/>
          <w:sz w:val="32"/>
          <w:szCs w:val="32"/>
        </w:rPr>
      </w:pPr>
      <w:r>
        <w:rPr>
          <w:rStyle w:val="11"/>
          <w:rFonts w:hint="eastAsia" w:ascii="仿宋_GB2312" w:hAnsi="仿宋_GB2312" w:eastAsia="仿宋_GB2312" w:cs="仿宋_GB2312"/>
          <w:b/>
          <w:color w:val="auto"/>
          <w:sz w:val="32"/>
          <w:szCs w:val="32"/>
        </w:rPr>
        <w:t>2.夯实党建工作基础，加强基层党组织建设</w:t>
      </w:r>
    </w:p>
    <w:p>
      <w:pPr>
        <w:widowControl w:val="0"/>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中组部教育部党组的要求，重新修订了《党委会议事规则》和《院长办公会议事规则》，完善了校级决策制度。持续抓实基层党支部建设，优化了党支部组成，按期完成10个支部换届选举。党支部坚持落实“三会一课”制度，深入学习《党支部工作条例》和《党员教育管理条例》，实施六大红色工程，举办庆祝新中国成立70周年、宣讲十九届四中全会精神、西柏坡党史国史教育等活动，强化政治功能，1个活动获批教育系统“最佳党日”，完成党员发展计划100%。开展“两优一先”评选，选树院级优秀党员14名、优秀党务工作者5名，先进基层党组织2个，其中8名个人和1个支部获批集团表彰，学院党委被评为渤轻系统先进基层党组织。院党委还与天津模协、天津海尔开展党建共建，互学互促共谋发展。</w:t>
      </w:r>
    </w:p>
    <w:p>
      <w:pPr>
        <w:widowControl w:val="0"/>
        <w:spacing w:after="0" w:line="360" w:lineRule="auto"/>
        <w:ind w:firstLine="643" w:firstLineChars="200"/>
        <w:rPr>
          <w:rFonts w:ascii="仿宋_GB2312" w:hAnsi="仿宋_GB2312" w:eastAsia="仿宋_GB2312" w:cs="仿宋_GB2312"/>
          <w:b/>
          <w:sz w:val="32"/>
          <w:szCs w:val="32"/>
          <w:shd w:val="clear" w:color="auto" w:fill="FFFFFF"/>
        </w:rPr>
      </w:pPr>
      <w:r>
        <w:rPr>
          <w:rStyle w:val="12"/>
          <w:rFonts w:hint="eastAsia" w:ascii="仿宋_GB2312" w:hAnsi="仿宋_GB2312" w:eastAsia="仿宋_GB2312" w:cs="仿宋_GB2312"/>
          <w:szCs w:val="32"/>
        </w:rPr>
        <w:t>3.</w:t>
      </w:r>
      <w:r>
        <w:rPr>
          <w:rFonts w:hint="eastAsia" w:ascii="仿宋_GB2312" w:hAnsi="仿宋_GB2312" w:eastAsia="仿宋_GB2312" w:cs="仿宋_GB2312"/>
          <w:b/>
          <w:sz w:val="32"/>
          <w:szCs w:val="32"/>
          <w:shd w:val="clear" w:color="auto" w:fill="FFFFFF"/>
        </w:rPr>
        <w:t>抓好干部管理监督，加强干部队伍建设</w:t>
      </w:r>
    </w:p>
    <w:p>
      <w:pPr>
        <w:widowControl w:val="0"/>
        <w:spacing w:after="0" w:line="360" w:lineRule="auto"/>
        <w:ind w:firstLine="640" w:firstLineChars="200"/>
        <w:jc w:val="both"/>
        <w:rPr>
          <w:rStyle w:val="11"/>
          <w:rFonts w:ascii="仿宋_GB2312" w:hAnsi="仿宋_GB2312" w:eastAsia="仿宋_GB2312" w:cs="仿宋_GB2312"/>
          <w:color w:val="auto"/>
          <w:sz w:val="32"/>
          <w:szCs w:val="32"/>
        </w:rPr>
      </w:pPr>
      <w:r>
        <w:rPr>
          <w:rFonts w:hint="eastAsia" w:ascii="仿宋_GB2312" w:hAnsi="仿宋_GB2312" w:eastAsia="仿宋_GB2312" w:cs="仿宋_GB2312"/>
          <w:sz w:val="32"/>
          <w:szCs w:val="32"/>
          <w:shd w:val="clear" w:color="auto" w:fill="FFFFFF"/>
        </w:rPr>
        <w:t>深入学习贯彻中央新修订的选拔任用工作条例，修订了《中层干部选拔任用工作办法》，规范了工作程序和要求，并根据工作需要分两批选拔中层干部14人。按集团党委部署，两级党组织分别召开了2次民主生活会、组织生活会。继续巩固巡察整改成效，</w:t>
      </w:r>
      <w:r>
        <w:rPr>
          <w:rStyle w:val="11"/>
          <w:rFonts w:hint="eastAsia" w:ascii="仿宋_GB2312" w:hAnsi="仿宋_GB2312" w:eastAsia="仿宋_GB2312" w:cs="仿宋_GB2312"/>
          <w:color w:val="auto"/>
          <w:sz w:val="32"/>
          <w:szCs w:val="32"/>
        </w:rPr>
        <w:t>对2017年集团党委专项巡察工作进行“回头看”，并结合落实“5·22”会议等有关精神深入分析“人事因制”，通过了集团巡察办的审核。不断完善党外人才库建设，举办了党外知识分子专题培训，凝聚人才汇聚智慧。做好援疆干部和老干部相关工作，按上级要求，推荐了3名同志作为天津市第十批援疆干部人才人选。</w:t>
      </w:r>
    </w:p>
    <w:p>
      <w:pPr>
        <w:widowControl w:val="0"/>
        <w:spacing w:after="0" w:line="360" w:lineRule="auto"/>
        <w:ind w:firstLine="643" w:firstLineChars="200"/>
        <w:rPr>
          <w:rFonts w:ascii="仿宋_GB2312" w:hAnsi="仿宋_GB2312" w:eastAsia="仿宋_GB2312" w:cs="仿宋_GB2312"/>
          <w:b/>
          <w:sz w:val="32"/>
          <w:szCs w:val="32"/>
        </w:rPr>
      </w:pPr>
      <w:r>
        <w:rPr>
          <w:rStyle w:val="12"/>
          <w:rFonts w:hint="eastAsia" w:ascii="仿宋_GB2312" w:hAnsi="仿宋_GB2312" w:eastAsia="仿宋_GB2312" w:cs="仿宋_GB2312"/>
          <w:szCs w:val="32"/>
        </w:rPr>
        <w:t>4.</w:t>
      </w:r>
      <w:r>
        <w:rPr>
          <w:rFonts w:hint="eastAsia" w:ascii="仿宋_GB2312" w:hAnsi="仿宋_GB2312" w:eastAsia="仿宋_GB2312" w:cs="仿宋_GB2312"/>
          <w:b/>
          <w:sz w:val="32"/>
          <w:szCs w:val="32"/>
        </w:rPr>
        <w:t>加强舆论宣传工作，守好意识形态主阵地</w:t>
      </w:r>
    </w:p>
    <w:p>
      <w:pPr>
        <w:widowControl w:val="0"/>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院党委制定了意识形态工作责任制并开展定期分析研判，落实“一会一报、一事一报”制度，全力确保意识形态安全。成立党委教师工作部，出台了学院层面3个制度，完成在岗教职员工师德档案建设，</w:t>
      </w:r>
      <w:r>
        <w:rPr>
          <w:rFonts w:hint="eastAsia" w:ascii="仿宋_GB2312" w:hAnsi="仿宋" w:eastAsia="仿宋_GB2312" w:cs="仿宋"/>
          <w:bCs/>
          <w:sz w:val="32"/>
          <w:szCs w:val="32"/>
        </w:rPr>
        <w:t>切实</w:t>
      </w:r>
      <w:r>
        <w:rPr>
          <w:rFonts w:hint="eastAsia" w:ascii="仿宋_GB2312" w:hAnsi="仿宋_GB2312" w:eastAsia="仿宋_GB2312" w:cs="仿宋_GB2312"/>
          <w:sz w:val="32"/>
          <w:szCs w:val="32"/>
        </w:rPr>
        <w:t>加强师德师风教育。持续加强宣传阵地建设，</w:t>
      </w:r>
      <w:r>
        <w:rPr>
          <w:rFonts w:hint="eastAsia" w:ascii="仿宋_GB2312" w:hAnsi="仿宋" w:eastAsia="仿宋_GB2312"/>
          <w:color w:val="000000"/>
          <w:sz w:val="32"/>
          <w:szCs w:val="32"/>
        </w:rPr>
        <w:t>形成了7个微信平台、2个客户端，开通了官方抖音和官方微博</w:t>
      </w:r>
      <w:r>
        <w:rPr>
          <w:rFonts w:hint="eastAsia" w:ascii="仿宋_GB2312" w:hAnsi="仿宋_GB2312" w:eastAsia="仿宋_GB2312" w:cs="仿宋_GB2312"/>
          <w:sz w:val="32"/>
          <w:szCs w:val="32"/>
        </w:rPr>
        <w:t>，强化正面发声，</w:t>
      </w:r>
      <w:r>
        <w:rPr>
          <w:rFonts w:hint="eastAsia" w:ascii="仿宋_GB2312" w:hAnsi="仿宋" w:eastAsia="仿宋_GB2312"/>
          <w:color w:val="000000"/>
          <w:sz w:val="32"/>
          <w:szCs w:val="32"/>
        </w:rPr>
        <w:t>微信平台全年共发布时政新闻、校内重大活动306篇，被天津日报、电视台等主流媒体报道20次，转发300余次，</w:t>
      </w:r>
      <w:r>
        <w:rPr>
          <w:rFonts w:hint="eastAsia" w:ascii="仿宋_GB2312" w:hAnsi="仿宋_GB2312" w:eastAsia="仿宋_GB2312" w:cs="仿宋_GB2312"/>
          <w:sz w:val="32"/>
          <w:szCs w:val="32"/>
        </w:rPr>
        <w:t>学院当选全国职业院校融媒体联盟理事长单位。</w:t>
      </w:r>
      <w:r>
        <w:rPr>
          <w:rFonts w:hint="eastAsia" w:ascii="仿宋_GB2312" w:hAnsi="仿宋" w:eastAsia="仿宋_GB2312" w:cs="仿宋"/>
          <w:sz w:val="32"/>
          <w:szCs w:val="32"/>
        </w:rPr>
        <w:t>完成“学习强国”学习平台组织架构</w:t>
      </w:r>
      <w:r>
        <w:rPr>
          <w:rFonts w:hint="eastAsia" w:ascii="仿宋_GB2312" w:hAnsi="仿宋_GB2312" w:eastAsia="仿宋_GB2312" w:cs="仿宋_GB2312"/>
          <w:sz w:val="32"/>
          <w:szCs w:val="32"/>
        </w:rPr>
        <w:t>搭建，实现党员学习全覆盖。围绕</w:t>
      </w:r>
      <w:r>
        <w:rPr>
          <w:rFonts w:hint="eastAsia" w:ascii="仿宋_GB2312" w:hAnsi="仿宋" w:eastAsia="仿宋_GB2312"/>
          <w:sz w:val="32"/>
          <w:szCs w:val="32"/>
        </w:rPr>
        <w:t>扫黑除恶、文明校园、网络安全宣传周等开展主题宣传活动，</w:t>
      </w:r>
      <w:r>
        <w:rPr>
          <w:rFonts w:hint="eastAsia" w:ascii="仿宋_GB2312" w:hAnsi="仿宋" w:eastAsia="仿宋_GB2312" w:cs="仿宋"/>
          <w:bCs/>
          <w:sz w:val="32"/>
          <w:szCs w:val="32"/>
        </w:rPr>
        <w:t>营造了良好氛围。</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5.提高政治站位，压紧压实全面从严治党主体责任</w:t>
      </w:r>
    </w:p>
    <w:p>
      <w:pPr>
        <w:widowControl w:val="0"/>
        <w:spacing w:after="0" w:line="360" w:lineRule="auto"/>
        <w:ind w:firstLine="640" w:firstLineChars="200"/>
        <w:jc w:val="both"/>
        <w:rPr>
          <w:rFonts w:ascii="仿宋_GB2312" w:hAnsi="仿宋_GB2312" w:eastAsia="仿宋_GB2312" w:cs="仿宋_GB2312"/>
          <w:b/>
          <w:bCs/>
          <w:kern w:val="24"/>
          <w:sz w:val="32"/>
          <w:szCs w:val="32"/>
        </w:rPr>
      </w:pPr>
      <w:r>
        <w:rPr>
          <w:rFonts w:hint="eastAsia" w:ascii="仿宋_GB2312" w:hAnsi="仿宋_GB2312" w:eastAsia="仿宋_GB2312" w:cs="仿宋_GB2312"/>
          <w:sz w:val="32"/>
          <w:szCs w:val="32"/>
        </w:rPr>
        <w:t>持之以恒加强纪律建设，召开专题会议并组织签订责任书，建立了中层及以上干部廉政档案59份，压实了政治责任。组织参观市纪委警示教育专题展览、举办第四届廉政作品大赛等活动，坚持“每日一案例”警示，加强日常教育。修订了《廉洁风险防控手册》，完善了对基建项目的全程监督，全年开展各类专项监督检查22项，开展小金库、培训工作和公开招聘等廉政谈话，堵塞漏洞4个。加强纪检监察队伍建设，建立了纪检干部学习制度，定期开展培训和交流。按集团党委部署</w:t>
      </w:r>
      <w:r>
        <w:rPr>
          <w:rStyle w:val="11"/>
          <w:rFonts w:hint="eastAsia" w:ascii="仿宋_GB2312" w:hAnsi="仿宋_GB2312" w:eastAsia="仿宋_GB2312" w:cs="仿宋_GB2312"/>
          <w:color w:val="auto"/>
          <w:sz w:val="32"/>
          <w:szCs w:val="32"/>
        </w:rPr>
        <w:t>制定了学院激励担当作为制度，明确了正向激励和容错机制。</w:t>
      </w:r>
      <w:r>
        <w:rPr>
          <w:rFonts w:hint="eastAsia" w:ascii="仿宋_GB2312" w:hAnsi="仿宋_GB2312" w:eastAsia="仿宋_GB2312" w:cs="仿宋_GB2312"/>
          <w:sz w:val="32"/>
          <w:szCs w:val="32"/>
        </w:rPr>
        <w:t>深入开展不作为不担当形式主义官僚主义治理，坚持用好“四种形态”，为学院发展营造了风清气正的政治环境。</w:t>
      </w:r>
    </w:p>
    <w:p>
      <w:pPr>
        <w:widowControl w:val="0"/>
        <w:spacing w:after="0" w:line="360" w:lineRule="auto"/>
        <w:ind w:firstLine="643" w:firstLineChars="200"/>
        <w:jc w:val="both"/>
        <w:rPr>
          <w:rFonts w:ascii="仿宋_GB2312" w:hAnsi="仿宋_GB2312" w:eastAsia="仿宋_GB2312" w:cs="仿宋_GB2312"/>
          <w:b/>
          <w:bCs/>
          <w:kern w:val="24"/>
          <w:sz w:val="32"/>
          <w:szCs w:val="32"/>
        </w:rPr>
      </w:pPr>
      <w:r>
        <w:rPr>
          <w:rFonts w:hint="eastAsia" w:ascii="仿宋_GB2312" w:hAnsi="仿宋_GB2312" w:eastAsia="仿宋_GB2312" w:cs="仿宋_GB2312"/>
          <w:b/>
          <w:bCs/>
          <w:kern w:val="24"/>
          <w:sz w:val="32"/>
          <w:szCs w:val="32"/>
        </w:rPr>
        <w:t>（二）以立德树人为根本，切实加强思想政治教育</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1．强化思想政治引领，规范制度建设</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总书记在思政课教师座谈会上的重要讲话精神，召开思政课教师座谈会、研讨会，研究加强思政课建设的措施，建立了《落实“思政十条”任务的九项举措》等制度。抓牢思政课教学主阵地，举办思政公开课大赛，形成了加强思想政治工作的长效机制。加强学生思政教育，制定《加强辅导员队伍管理工作办法》，开展“弘扬爱国精神 奏响时代强音”主题活动，10次邀请特聘专家、劳模工匠和优秀毕业生代表进校园巡讲，院领导为学生讲思政课10次，持续推进十大育人体系建设。加强思政研究，学院党委获得全国高职高专党委书记论坛最佳组织奖。</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2.推进课程思政建设，创新机制塑造精品</w:t>
      </w:r>
    </w:p>
    <w:p>
      <w:pPr>
        <w:widowControl w:val="0"/>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推进学院“课程思政”教育教学改革，成立了由专业教师、思政教师和辅导员等共同组成的课程思政教学研究组，在全院范围内全面推行课程思政建设工作，深度挖掘各专业课程和基础课程所蕴含的思想政治教育资源，各类课程与思政课相互配合，发挥课程的育人功能，以两门市级“课程思政”改革精品课程建设为引领，深挖思政课程内涵，全面推动学院百门课程思政建设，2019年申报“课程思政”精品课程47门。</w:t>
      </w:r>
    </w:p>
    <w:p>
      <w:pPr>
        <w:widowControl w:val="0"/>
        <w:spacing w:after="0"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24"/>
          <w:sz w:val="32"/>
          <w:szCs w:val="32"/>
        </w:rPr>
        <w:t>（三）</w:t>
      </w:r>
      <w:r>
        <w:rPr>
          <w:rFonts w:hint="eastAsia" w:ascii="仿宋_GB2312" w:hAnsi="仿宋_GB2312" w:eastAsia="仿宋_GB2312" w:cs="仿宋_GB2312"/>
          <w:b/>
          <w:bCs/>
          <w:sz w:val="32"/>
          <w:szCs w:val="32"/>
        </w:rPr>
        <w:t>注重内涵建设，教学工作取得新进展</w:t>
      </w:r>
    </w:p>
    <w:p>
      <w:pPr>
        <w:widowControl w:val="0"/>
        <w:spacing w:after="0" w:line="360" w:lineRule="auto"/>
        <w:ind w:firstLine="643" w:firstLineChars="200"/>
        <w:jc w:val="both"/>
        <w:rPr>
          <w:rFonts w:ascii="仿宋_GB2312" w:hAnsi="仿宋_GB2312" w:eastAsia="仿宋_GB2312" w:cs="仿宋_GB2312"/>
          <w:b/>
          <w:bCs/>
          <w:kern w:val="24"/>
          <w:sz w:val="32"/>
          <w:szCs w:val="32"/>
        </w:rPr>
      </w:pPr>
      <w:r>
        <w:rPr>
          <w:rFonts w:hint="eastAsia" w:ascii="仿宋_GB2312" w:hAnsi="仿宋_GB2312" w:eastAsia="仿宋_GB2312" w:cs="仿宋_GB2312"/>
          <w:b/>
          <w:bCs/>
          <w:kern w:val="24"/>
          <w:sz w:val="32"/>
          <w:szCs w:val="32"/>
        </w:rPr>
        <w:t>1.加强</w:t>
      </w:r>
      <w:r>
        <w:rPr>
          <w:rFonts w:hint="eastAsia" w:ascii="仿宋_GB2312" w:hAnsi="仿宋_GB2312" w:eastAsia="仿宋_GB2312" w:cs="仿宋_GB2312"/>
          <w:b/>
          <w:bCs/>
          <w:sz w:val="32"/>
          <w:szCs w:val="32"/>
        </w:rPr>
        <w:t>专业群建设</w:t>
      </w:r>
      <w:r>
        <w:rPr>
          <w:rFonts w:hint="eastAsia" w:ascii="仿宋_GB2312" w:hAnsi="仿宋_GB2312" w:eastAsia="仿宋_GB2312" w:cs="仿宋_GB2312"/>
          <w:b/>
          <w:bCs/>
          <w:kern w:val="24"/>
          <w:sz w:val="32"/>
          <w:szCs w:val="32"/>
        </w:rPr>
        <w:t>，提高人才培养质量</w:t>
      </w:r>
    </w:p>
    <w:p>
      <w:pPr>
        <w:pStyle w:val="7"/>
        <w:widowControl w:val="0"/>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照“双高”专业群建设要求，全力推进模具、光伏2个顶尖专业群建设，2019年在完成新专业《机械产品检测检验技术》招生工作基础上，又成功申报了《机械设计与自动化（智能制造）》专业申报工作，实现模具专业群向智能制造方向转化，促进教育链、人才链与产业链、创新链有机衔接。落实教育部《关于职业院校专业人才培养方案制订与实施工作的指导意见》，完善专业建设标准体系和课程建设标准体系，完成 32个高职专业，5个三二分段专业，4个百万扩招专业和2个专业群，共</w:t>
      </w:r>
      <w:r>
        <w:rPr>
          <w:rFonts w:hint="eastAsia" w:ascii="仿宋_GB2312" w:eastAsia="仿宋_GB2312"/>
          <w:bCs/>
          <w:sz w:val="32"/>
          <w:szCs w:val="32"/>
        </w:rPr>
        <w:t>43个人才培养方案</w:t>
      </w:r>
      <w:r>
        <w:rPr>
          <w:rFonts w:hint="eastAsia" w:ascii="仿宋_GB2312" w:hAnsi="仿宋_GB2312" w:eastAsia="仿宋_GB2312" w:cs="仿宋_GB2312"/>
          <w:sz w:val="32"/>
          <w:szCs w:val="32"/>
        </w:rPr>
        <w:t>的制定、修订工作。完成国家级职业教育新能源类专业教学资源库升级改进项目的申报工作，主持开展2个国家级教学资源库、参与8个国家教学资源库的建设与推广工作。建设10门在线开放课程，打造智慧教室，推动线上线下混合式教学。积极响应国家高职百万扩招重大战略部署，全年高职学生录取3738人，联合培养本科录取100人，面向“四辅”生源招生录取811人，圆满完成招生任务。2019届毕业生2928人，就业率98.94%，对困难生“一对一”重点帮扶，困难生就业率达到100%。</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2.启动1+X证书试点，注入人才培养新内涵</w:t>
      </w:r>
    </w:p>
    <w:p>
      <w:pPr>
        <w:pStyle w:val="7"/>
        <w:widowControl w:val="0"/>
        <w:spacing w:after="0" w:line="360" w:lineRule="auto"/>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根据学院专业设置，与教育部公布“1+X”试点证书同步，开展《物流管理》、《工业机器人操作与运维》等5个证书试点工作，已经完成计算机信息管理、物流管理、电子商务3个专业289名学生取证考试工作。将“1+X”职业技能等级证书要求融入专业人才培养方案修订，将证书关键能力标准融入专业基础课及专业核心课程教学标准，实现试点专业人才培养方案与证书对接。</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3.高水平完成职教周活动，展示学院发展成果</w:t>
      </w:r>
    </w:p>
    <w:p>
      <w:pPr>
        <w:widowControl w:val="0"/>
        <w:shd w:val="clear" w:color="auto" w:fill="FFFFFF"/>
        <w:spacing w:after="0" w:line="360" w:lineRule="auto"/>
        <w:ind w:firstLine="640" w:firstLineChars="200"/>
        <w:jc w:val="both"/>
        <w:rPr>
          <w:rFonts w:ascii="仿宋_GB2312" w:hAnsi="仿宋_GB2312" w:eastAsia="仿宋_GB2312" w:cs="仿宋_GB2312"/>
          <w:bCs/>
          <w:kern w:val="24"/>
          <w:sz w:val="32"/>
          <w:szCs w:val="32"/>
        </w:rPr>
      </w:pPr>
      <w:r>
        <w:rPr>
          <w:rFonts w:hint="eastAsia" w:ascii="仿宋_GB2312" w:hAnsi="仿宋_GB2312" w:eastAsia="仿宋_GB2312" w:cs="仿宋_GB2312"/>
          <w:sz w:val="32"/>
          <w:szCs w:val="32"/>
          <w:shd w:val="clear" w:color="auto" w:fill="FFFFFF"/>
        </w:rPr>
        <w:t>围绕“职教改革四十年，产教融合育工匠”活动主题，学院精心设计</w:t>
      </w:r>
      <w:sdt>
        <w:sdtPr>
          <w:rPr>
            <w:rFonts w:hint="eastAsia" w:ascii="仿宋_GB2312" w:hAnsi="仿宋_GB2312" w:eastAsia="仿宋_GB2312" w:cs="仿宋_GB2312"/>
            <w:sz w:val="32"/>
            <w:szCs w:val="32"/>
            <w:shd w:val="clear" w:color="auto" w:fill="FFFFFF"/>
          </w:rPr>
          <w:id w:val="-1553841014"/>
          <w:placeholder>
            <w:docPart w:val="48A92324DF26441B980B3106C2FC3C53"/>
          </w:placeholder>
          <w:text/>
        </w:sdtPr>
        <w:sdtEndPr>
          <w:rPr>
            <w:rFonts w:hint="eastAsia" w:ascii="仿宋_GB2312" w:hAnsi="仿宋_GB2312" w:eastAsia="仿宋_GB2312" w:cs="仿宋_GB2312"/>
            <w:sz w:val="32"/>
            <w:szCs w:val="32"/>
            <w:shd w:val="clear" w:color="auto" w:fill="FFFFFF"/>
          </w:rPr>
        </w:sdtEndPr>
        <w:sdtContent>
          <w:r>
            <w:rPr>
              <w:rFonts w:hint="eastAsia" w:ascii="仿宋_GB2312" w:hAnsi="仿宋_GB2312" w:eastAsia="仿宋_GB2312" w:cs="仿宋_GB2312"/>
              <w:sz w:val="32"/>
              <w:szCs w:val="32"/>
              <w:shd w:val="clear" w:color="auto" w:fill="FFFFFF"/>
            </w:rPr>
            <w:t>了</w:t>
          </w:r>
        </w:sdtContent>
      </w:sdt>
      <w:r>
        <w:rPr>
          <w:rFonts w:hint="eastAsia" w:ascii="仿宋_GB2312" w:hAnsi="仿宋_GB2312" w:eastAsia="仿宋_GB2312" w:cs="仿宋_GB2312"/>
          <w:sz w:val="32"/>
          <w:szCs w:val="32"/>
          <w:shd w:val="clear" w:color="auto" w:fill="FFFFFF"/>
        </w:rPr>
        <w:t>中国制造2025、精准扶贫、“一带一路”、京津冀协同发展、服务师生成长、普职融通、学习型城市构建等15项校园特色活动。成功</w:t>
      </w:r>
      <w:r>
        <w:rPr>
          <w:rFonts w:hint="eastAsia" w:ascii="仿宋_GB2312" w:hAnsi="仿宋_GB2312" w:eastAsia="仿宋_GB2312" w:cs="仿宋_GB2312"/>
          <w:bCs/>
          <w:kern w:val="24"/>
          <w:sz w:val="32"/>
          <w:szCs w:val="32"/>
        </w:rPr>
        <w:t>承办了全国职业院校技能大赛高职组《智能电梯装调与维护》赛项，接待了来自全国28个不同地区的90支代表队180名选手和2名来自缅甸的留学生选手。2019年我校共参加了全国职业院校技能大赛5个赛项比赛，其中智能电梯装调与维护、电子商务技能两个赛项分获一等奖，模具数字化设计与工艺、光伏电子工程设计与实施两个赛项分获二等奖。</w:t>
      </w:r>
    </w:p>
    <w:p>
      <w:pPr>
        <w:widowControl w:val="0"/>
        <w:spacing w:after="0" w:line="360" w:lineRule="auto"/>
        <w:ind w:firstLine="643" w:firstLineChars="200"/>
        <w:rPr>
          <w:rFonts w:ascii="仿宋_GB2312" w:hAnsi="仿宋_GB2312" w:eastAsia="仿宋_GB2312" w:cs="仿宋_GB2312"/>
          <w:b/>
          <w:kern w:val="2"/>
          <w:sz w:val="32"/>
          <w:szCs w:val="32"/>
        </w:rPr>
      </w:pPr>
      <w:r>
        <w:rPr>
          <w:rFonts w:hint="eastAsia" w:ascii="仿宋_GB2312" w:hAnsi="仿宋_GB2312" w:eastAsia="仿宋_GB2312" w:cs="仿宋_GB2312"/>
          <w:b/>
          <w:kern w:val="24"/>
          <w:sz w:val="32"/>
          <w:szCs w:val="32"/>
        </w:rPr>
        <w:t>4.</w:t>
      </w:r>
      <w:r>
        <w:rPr>
          <w:rFonts w:hint="eastAsia" w:ascii="仿宋_GB2312" w:hAnsi="仿宋_GB2312" w:eastAsia="仿宋_GB2312" w:cs="仿宋_GB2312"/>
          <w:b/>
          <w:kern w:val="2"/>
          <w:sz w:val="32"/>
          <w:szCs w:val="32"/>
        </w:rPr>
        <w:t>双创教育融合产业需求，活动丰富异彩纷呈</w:t>
      </w:r>
    </w:p>
    <w:p>
      <w:pPr>
        <w:widowControl w:val="0"/>
        <w:spacing w:after="0" w:line="360" w:lineRule="auto"/>
        <w:ind w:firstLine="640" w:firstLineChars="200"/>
        <w:jc w:val="both"/>
        <w:rPr>
          <w:rFonts w:ascii="仿宋_GB2312" w:hAnsi="仿宋_GB2312" w:eastAsia="仿宋_GB2312" w:cs="仿宋_GB2312"/>
          <w:bCs/>
          <w:kern w:val="24"/>
          <w:sz w:val="32"/>
          <w:szCs w:val="32"/>
        </w:rPr>
      </w:pPr>
      <w:r>
        <w:rPr>
          <w:rFonts w:hint="eastAsia" w:ascii="仿宋_GB2312" w:hAnsi="仿宋_GB2312" w:eastAsia="仿宋_GB2312" w:cs="仿宋_GB2312"/>
          <w:bCs/>
          <w:sz w:val="32"/>
          <w:szCs w:val="32"/>
        </w:rPr>
        <w:t>持续推进创新创业教育与产业需求融合，多举措推动大学生创新创业项目落地。成功举办海河教育园区《2019年文化创意创新创业大赛》、《桂发祥市场营销大赛》、轻工学院《第七届创新创业大赛》等活动。选送《创新创业教育工作案例》入选2019年度全国高职院校创新创业教育特色典型案例。学院轻职众创空间新增入驻项目6个，注册企业5个，通过市教委绩效评估，被评为A级（优秀）高校众创空间。</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kern w:val="24"/>
          <w:sz w:val="32"/>
          <w:szCs w:val="32"/>
        </w:rPr>
        <w:t>持续深化产教融合，</w:t>
      </w:r>
      <w:r>
        <w:rPr>
          <w:rFonts w:hint="eastAsia" w:ascii="仿宋_GB2312" w:hAnsi="仿宋_GB2312" w:eastAsia="仿宋_GB2312" w:cs="仿宋_GB2312"/>
          <w:b/>
          <w:bCs/>
          <w:sz w:val="32"/>
          <w:szCs w:val="32"/>
        </w:rPr>
        <w:t>呈现办学体制新亮点</w:t>
      </w:r>
    </w:p>
    <w:p>
      <w:pPr>
        <w:widowControl w:val="0"/>
        <w:shd w:val="clear" w:color="auto" w:fill="FFFFFF"/>
        <w:spacing w:after="0" w:line="360" w:lineRule="auto"/>
        <w:ind w:firstLine="640" w:firstLineChars="200"/>
        <w:rPr>
          <w:rFonts w:ascii="仿宋_GB2312" w:hAnsi="仿宋_GB2312" w:eastAsia="仿宋_GB2312" w:cs="仿宋_GB2312"/>
          <w:bCs/>
          <w:kern w:val="24"/>
          <w:sz w:val="32"/>
          <w:szCs w:val="32"/>
        </w:rPr>
      </w:pPr>
      <w:r>
        <w:rPr>
          <w:rFonts w:hint="eastAsia" w:ascii="仿宋_GB2312" w:hAnsi="仿宋_GB2312" w:eastAsia="仿宋_GB2312" w:cs="仿宋_GB2312"/>
          <w:bCs/>
          <w:kern w:val="24"/>
          <w:sz w:val="32"/>
          <w:szCs w:val="32"/>
        </w:rPr>
        <w:t>1.</w:t>
      </w:r>
      <w:r>
        <w:rPr>
          <w:rFonts w:hint="eastAsia" w:ascii="仿宋_GB2312" w:hAnsi="仿宋_GB2312" w:eastAsia="仿宋_GB2312" w:cs="仿宋_GB2312"/>
          <w:b/>
          <w:bCs/>
          <w:sz w:val="32"/>
          <w:szCs w:val="32"/>
        </w:rPr>
        <w:t>成立模具产业学院，探索产教融合新路径</w:t>
      </w:r>
    </w:p>
    <w:p>
      <w:pPr>
        <w:widowControl w:val="0"/>
        <w:shd w:val="clear" w:color="auto" w:fill="FFFFFF"/>
        <w:spacing w:after="0" w:line="360" w:lineRule="auto"/>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Cs/>
          <w:kern w:val="24"/>
          <w:sz w:val="32"/>
          <w:szCs w:val="32"/>
        </w:rPr>
        <w:t>2019年5月，学院与瑞士GF加工方案、中国模具工业协会、天津汽车模具股份有限公司、银宝山新科技股份有限公司合作共建的模具产业学院正式揭牌。该产业学院是国内模具行业首个多元构成和投入、股份合作性质的办学和生产单位，标志着我院在探索建立混合所有制产业学院的道路上，迈出了重要的一步。瑞士精密制造专业师资培养培训基地、中国天津职业院校师生海外（瑞士）拓展基地、中国—瑞士职业教育研究中心同步揭牌成立。</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2.拓展校企合作领域，打造校企命运共同体</w:t>
      </w:r>
    </w:p>
    <w:p>
      <w:pPr>
        <w:pStyle w:val="13"/>
        <w:widowControl w:val="0"/>
        <w:spacing w:after="0" w:line="360" w:lineRule="auto"/>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学院顺利通过教育部第二批现代学徒制试点院校验收工作，为全面推行现代学徒制奠定基础。按照“四中心一融入”产教融合标准，打造学院“三级贯通”升级版，确定服装、数维、环艺、新能源等专业与国际知名或行业龙头企业合作关系，新增校企战略合作企业天津瑞能电气有限公司1家。推动落实国家《建设产教融合型企业实施办法（试行）》，协助天津汽车模具股份有限公司、天津市津兆机电开发有限公司、天津海鸥表业集团有限公司等6家企业申报产教融合型企业；协助GF加工方案集团等3家公司完成创新型科技企业的申报工作。</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3.开展多种职业培训项目，提升社会服务能力</w:t>
      </w:r>
    </w:p>
    <w:p>
      <w:pPr>
        <w:widowControl w:val="0"/>
        <w:spacing w:after="0" w:line="360" w:lineRule="auto"/>
        <w:ind w:firstLine="640" w:firstLineChars="200"/>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学院坚持学历教育和培训并举，根据社会、企业需要，积极开展多层次、多形式、多对象的高端研修培训、企业职工技术技能培训、国培基地师资培训、对口支援师资培训、“一带一路”国家师资培训、退役军人培训、新型农民工继续教育和培训等，全年完成校内外培训16000人次。</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（五）加强师资队伍建设，为教师成长赋能</w:t>
      </w:r>
    </w:p>
    <w:p>
      <w:pPr>
        <w:pStyle w:val="7"/>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kern w:val="24"/>
          <w:sz w:val="32"/>
          <w:szCs w:val="32"/>
        </w:rPr>
        <w:t>学院推动绩效与职称评审制度改革，出台了天津轻工职业技术学院《重点工作和重点项目绩效考核及奖励办法》和《教师专业技术职称“自主评审”工作实施方案》。学院优化师资队伍建设，2019年博士研究生培养计划3人，硕士研究生培养计划5人，公开招聘录用教职工17人。学院注重教师教学与创新能力培养，光伏发电技术与应用专业申报教育部首批国家级教师教学创新团队成功入选。2019年教师参加市级以上各类大赛获奖57人次。在全国轻工职业教育赛项评比中，获得教学成果二等奖1项、教学名师1名、青年教学能手1名、论文一等奖1项。学院教师科研能力不断增强，局级及以上各类科研课题立项56项，获得专利受理通知书27项，其中发明6项、实用新型18项、外观设计3项。持续服务行业企业，帮助海鸥设计与开发手表机芯零件高精冲压模具1项。</w:t>
      </w:r>
    </w:p>
    <w:p>
      <w:pPr>
        <w:pStyle w:val="7"/>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（六）提升国际影响力，鲁班工坊再添新彩</w:t>
      </w:r>
    </w:p>
    <w:p>
      <w:pPr>
        <w:widowControl w:val="0"/>
        <w:spacing w:after="0" w:line="360" w:lineRule="auto"/>
        <w:ind w:firstLine="640" w:firstLineChars="200"/>
        <w:jc w:val="both"/>
        <w:rPr>
          <w:rFonts w:ascii="仿宋_GB2312" w:hAnsi="仿宋_GB2312" w:eastAsia="仿宋_GB2312" w:cs="仿宋_GB2312"/>
          <w:bCs/>
          <w:kern w:val="24"/>
          <w:sz w:val="32"/>
          <w:szCs w:val="32"/>
        </w:rPr>
      </w:pPr>
      <w:r>
        <w:rPr>
          <w:rFonts w:hint="eastAsia" w:ascii="仿宋_GB2312" w:hAnsi="仿宋_GB2312" w:eastAsia="仿宋_GB2312" w:cs="仿宋_GB2312"/>
          <w:bCs/>
          <w:kern w:val="24"/>
          <w:sz w:val="32"/>
          <w:szCs w:val="32"/>
        </w:rPr>
        <w:t>加强职业教育国际交流，2019年新招收外国留学生15名，接待境外到访人员346人次，派出教师出访交流21人次。继续与新西兰怀卡托理工学院合作，参与承办了2019年中新职业教育发展论坛。持续推动鲁班工坊建设，继续组织EPIP师资培训，牵头承办了第二届中印职教论坛，成立中印职教联盟。大力推进埃及鲁班工坊建设，与埃及艾因夏姆斯大学和开罗高级维修技术学校合作，牵头建设涵盖5个专业的埃及2个鲁班工坊，完成共10周埃及教师二期EPIP师资培训，完成输出专业国际化专业教学标准、双语教材编写与翻译工作，并于12月底全面完成埃及2个鲁班工坊实训室基础建设、设备调试、软装等全部建设任务。完成鲁班工坊建设·体验馆二期改建工作，年接待国内外参观人员共计1.5万余人，鲁班工坊建设极大提升了学院社会和国际影响力。</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（七）加强制度体系建设，提升内部治理能力</w:t>
      </w:r>
    </w:p>
    <w:p>
      <w:pPr>
        <w:widowControl w:val="0"/>
        <w:spacing w:after="0" w:line="360" w:lineRule="auto"/>
        <w:ind w:firstLine="640" w:firstLineChars="200"/>
        <w:jc w:val="both"/>
        <w:rPr>
          <w:rFonts w:ascii="仿宋_GB2312" w:hAnsi="仿宋_GB2312" w:eastAsia="仿宋_GB2312" w:cs="仿宋_GB2312"/>
          <w:bCs/>
          <w:kern w:val="24"/>
          <w:sz w:val="32"/>
          <w:szCs w:val="32"/>
        </w:rPr>
      </w:pPr>
      <w:r>
        <w:rPr>
          <w:rFonts w:hint="eastAsia" w:ascii="仿宋_GB2312" w:hAnsi="仿宋_GB2312" w:eastAsia="仿宋_GB2312" w:cs="仿宋_GB2312"/>
          <w:bCs/>
          <w:kern w:val="2"/>
          <w:sz w:val="32"/>
          <w:szCs w:val="32"/>
        </w:rPr>
        <w:t>加强内部治理能力建设。聚焦教育教学质量提升，细化质量管理内容，加大日常督导力度，逐步完善内部质量保障体系建设，推动教学诊断与改进工作。加强全面预算管理，修订、新增各类制度24项，学院内控制度建设基本完成。强化资金管理，开展绩效审计模式，实现重大财务收支审计全覆盖。</w:t>
      </w:r>
      <w:r>
        <w:rPr>
          <w:rFonts w:hint="eastAsia" w:ascii="仿宋_GB2312" w:hAnsi="仿宋_GB2312" w:eastAsia="仿宋_GB2312" w:cs="仿宋_GB2312"/>
          <w:bCs/>
          <w:sz w:val="32"/>
          <w:szCs w:val="32"/>
        </w:rPr>
        <w:t>规范各类奖励性绩效工资发放，用足上级政策，让全体教职工分享学院发展成果，2019</w:t>
      </w:r>
      <w:r>
        <w:rPr>
          <w:rFonts w:hint="eastAsia" w:ascii="仿宋_GB2312" w:hAnsi="仿宋_GB2312" w:eastAsia="仿宋_GB2312" w:cs="仿宋_GB2312"/>
          <w:sz w:val="32"/>
          <w:szCs w:val="32"/>
        </w:rPr>
        <w:t>年</w:t>
      </w:r>
      <w:r>
        <w:rPr>
          <w:rFonts w:hint="eastAsia" w:ascii="仿宋_GB2312" w:hAnsi="仿宋_GB2312" w:eastAsia="仿宋_GB2312" w:cs="仿宋_GB2312"/>
          <w:bCs/>
          <w:sz w:val="32"/>
          <w:szCs w:val="32"/>
        </w:rPr>
        <w:t>实现全员</w:t>
      </w:r>
      <w:r>
        <w:rPr>
          <w:rFonts w:hint="eastAsia" w:ascii="仿宋_GB2312" w:hAnsi="仿宋_GB2312" w:eastAsia="仿宋_GB2312" w:cs="仿宋_GB2312"/>
          <w:sz w:val="32"/>
          <w:szCs w:val="32"/>
        </w:rPr>
        <w:t>年人均收入同比增幅10%</w:t>
      </w:r>
      <w:r>
        <w:rPr>
          <w:rFonts w:hint="eastAsia" w:ascii="仿宋_GB2312" w:hAnsi="仿宋_GB2312" w:eastAsia="仿宋_GB2312" w:cs="仿宋_GB2312"/>
          <w:b/>
          <w:bCs/>
          <w:sz w:val="32"/>
          <w:szCs w:val="32"/>
        </w:rPr>
        <w:t>。</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（八）加强平安校园建设，增建项目有序推进</w:t>
      </w:r>
    </w:p>
    <w:p>
      <w:pPr>
        <w:widowControl w:val="0"/>
        <w:spacing w:after="0" w:line="360" w:lineRule="auto"/>
        <w:ind w:firstLine="640" w:firstLineChars="200"/>
        <w:jc w:val="both"/>
        <w:rPr>
          <w:rFonts w:ascii="仿宋_GB2312" w:hAnsi="仿宋_GB2312" w:eastAsia="仿宋_GB2312" w:cs="仿宋_GB2312"/>
          <w:bCs/>
          <w:kern w:val="24"/>
          <w:sz w:val="32"/>
          <w:szCs w:val="32"/>
        </w:rPr>
      </w:pPr>
      <w:r>
        <w:rPr>
          <w:rFonts w:hint="eastAsia" w:ascii="仿宋_GB2312" w:hAnsi="仿宋_GB2312" w:eastAsia="仿宋_GB2312" w:cs="仿宋_GB2312"/>
          <w:bCs/>
          <w:kern w:val="24"/>
          <w:sz w:val="32"/>
          <w:szCs w:val="32"/>
        </w:rPr>
        <w:t>落实上级部门安全稳定工作要求，依据学院规定和工作特点开展安全警示教育，定期开展安全专项检查，逐步形成联防联手安全教育管理机制。定期召开安全工作专题会议，多部门联合开展学生宿舍安全、卫生大联查，排除宿舍安全隐患，解决学生生活实际问题。加强食品卫生安全管理，</w:t>
      </w:r>
      <w:r>
        <w:rPr>
          <w:rFonts w:hint="eastAsia" w:ascii="仿宋_GB2312" w:hAnsi="仿宋_GB2312" w:eastAsia="仿宋_GB2312" w:cs="仿宋_GB2312"/>
          <w:sz w:val="32"/>
          <w:szCs w:val="32"/>
        </w:rPr>
        <w:t>推动明厨亮灶和食品安全治理工程，充分利用食堂监控系统，使后厨成为可视、可感、可知的“阳光后厨”，不断提升食堂管理水平。</w:t>
      </w:r>
      <w:r>
        <w:rPr>
          <w:rFonts w:hint="eastAsia" w:ascii="仿宋_GB2312" w:hAnsi="仿宋_GB2312" w:eastAsia="仿宋_GB2312" w:cs="仿宋_GB2312"/>
          <w:bCs/>
          <w:kern w:val="24"/>
          <w:sz w:val="32"/>
          <w:szCs w:val="32"/>
        </w:rPr>
        <w:t>安排专项资金用于校园安全设施提升改造，不断提高物防技防水平。</w:t>
      </w:r>
      <w:r>
        <w:rPr>
          <w:rFonts w:hint="eastAsia" w:ascii="仿宋_GB2312" w:hAnsi="仿宋_GB2312" w:eastAsia="仿宋_GB2312" w:cs="仿宋_GB2312"/>
          <w:bCs/>
          <w:kern w:val="2"/>
          <w:sz w:val="32"/>
          <w:szCs w:val="32"/>
        </w:rPr>
        <w:t>学院</w:t>
      </w:r>
      <w:r>
        <w:rPr>
          <w:rFonts w:hint="eastAsia" w:ascii="仿宋_GB2312" w:hAnsi="仿宋_GB2312" w:eastAsia="仿宋_GB2312" w:cs="仿宋_GB2312"/>
          <w:sz w:val="32"/>
          <w:szCs w:val="32"/>
        </w:rPr>
        <w:t>产教融合工程中心和学生生活设施增建项目</w:t>
      </w:r>
      <w:r>
        <w:rPr>
          <w:rFonts w:hint="eastAsia" w:ascii="仿宋_GB2312" w:hAnsi="仿宋_GB2312" w:eastAsia="仿宋_GB2312" w:cs="仿宋_GB2312"/>
          <w:bCs/>
          <w:kern w:val="2"/>
          <w:sz w:val="32"/>
          <w:szCs w:val="32"/>
        </w:rPr>
        <w:t>严格履行国家相关工程备案、招标程序，已完成开工前各项准备工作，确保按计划工期开工建设。</w:t>
      </w:r>
    </w:p>
    <w:p>
      <w:pPr>
        <w:widowControl w:val="0"/>
        <w:spacing w:after="0"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b/>
          <w:sz w:val="32"/>
          <w:szCs w:val="32"/>
        </w:rPr>
        <w:t>存在的问题</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（一）基层党组织工作载体创新不足，“双带头人”配备不齐，还需进一步加强规范化建设。</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（二）思政育人体系建设距离上级要求尚有较大差距，思政教师队伍建设与思政课程改革有待加强。</w:t>
      </w:r>
    </w:p>
    <w:p>
      <w:pPr>
        <w:widowControl w:val="0"/>
        <w:spacing w:after="0" w:line="360" w:lineRule="auto"/>
        <w:ind w:firstLine="640" w:firstLineChars="200"/>
        <w:jc w:val="both"/>
        <w:rPr>
          <w:rFonts w:ascii="仿宋_GB2312" w:hAnsi="仿宋_GB2312" w:eastAsia="仿宋_GB2312" w:cs="仿宋_GB2312"/>
          <w:bCs/>
          <w:kern w:val="24"/>
          <w:sz w:val="32"/>
          <w:szCs w:val="32"/>
        </w:rPr>
      </w:pPr>
      <w:r>
        <w:rPr>
          <w:rFonts w:hint="eastAsia" w:ascii="仿宋_GB2312" w:hAnsi="仿宋_GB2312" w:eastAsia="仿宋_GB2312" w:cs="仿宋_GB2312"/>
          <w:bCs/>
          <w:kern w:val="24"/>
          <w:sz w:val="32"/>
          <w:szCs w:val="32"/>
        </w:rPr>
        <w:t>（三）适应并支撑职业教育深化改革创新的制度机制有待研究出台。</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三、2020年工作要点</w:t>
      </w:r>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pPr>
        <w:widowControl w:val="0"/>
        <w:spacing w:after="0" w:line="360" w:lineRule="auto"/>
        <w:ind w:firstLine="640" w:firstLineChars="200"/>
        <w:jc w:val="both"/>
        <w:rPr>
          <w:rFonts w:ascii="仿宋_GB2312" w:hAnsi="仿宋_GB2312" w:eastAsia="仿宋_GB2312" w:cs="仿宋_GB2312"/>
          <w:kern w:val="24"/>
          <w:sz w:val="32"/>
          <w:szCs w:val="32"/>
        </w:rPr>
      </w:pPr>
      <w:r>
        <w:rPr>
          <w:rFonts w:hint="eastAsia" w:ascii="仿宋_GB2312" w:hAnsi="仿宋_GB2312" w:eastAsia="仿宋_GB2312" w:cs="仿宋_GB2312"/>
          <w:kern w:val="24"/>
          <w:sz w:val="32"/>
          <w:szCs w:val="32"/>
        </w:rPr>
        <w:t>以习近平新时代中国特色社会主义思想为指导，全面贯彻党的十九大和十九届二中、三中、四中全会精神，深入学习贯彻习近平总书记关于教育的重要论述，和全国、全市教育大会精神，坚持以党的政治建设为统领，全面落实立德树人根本任务，全面加强和改进思想政治工作，全面启动“双高”校建设，不断提升人才培养质量，为京津冀协同发展和天津经济社会建设提供人才资源支撑，奋力谱写新时代学院创新发展的新篇章。</w:t>
      </w:r>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（二）总体目标</w:t>
      </w:r>
    </w:p>
    <w:p>
      <w:pPr>
        <w:widowControl w:val="0"/>
        <w:spacing w:after="0" w:line="360" w:lineRule="auto"/>
        <w:ind w:firstLine="640" w:firstLineChars="200"/>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坚持和加强</w:t>
      </w:r>
      <w:r>
        <w:rPr>
          <w:rFonts w:hint="eastAsia" w:ascii="仿宋_GB2312" w:hAnsi="仿宋_GB2312" w:eastAsia="仿宋_GB2312" w:cs="仿宋_GB2312"/>
          <w:kern w:val="24"/>
          <w:sz w:val="32"/>
          <w:szCs w:val="32"/>
        </w:rPr>
        <w:t>党的全面领导，</w:t>
      </w:r>
      <w:r>
        <w:rPr>
          <w:rFonts w:hint="eastAsia" w:ascii="仿宋_GB2312" w:hAnsi="仿宋_GB2312" w:eastAsia="仿宋_GB2312" w:cs="仿宋_GB2312"/>
          <w:sz w:val="32"/>
          <w:szCs w:val="32"/>
        </w:rPr>
        <w:t>落实《国家职业教育改革发展实施方案》</w:t>
      </w:r>
      <w:r>
        <w:rPr>
          <w:rFonts w:hint="eastAsia" w:ascii="仿宋_GB2312" w:hAnsi="仿宋_GB2312" w:eastAsia="仿宋_GB2312" w:cs="仿宋_GB2312"/>
          <w:kern w:val="24"/>
          <w:sz w:val="32"/>
          <w:szCs w:val="32"/>
        </w:rPr>
        <w:t>，</w:t>
      </w:r>
      <w:r>
        <w:rPr>
          <w:rFonts w:hint="eastAsia" w:ascii="仿宋_GB2312" w:hAnsi="仿宋_GB2312" w:eastAsia="仿宋_GB2312" w:cs="仿宋_GB2312"/>
          <w:sz w:val="32"/>
          <w:szCs w:val="32"/>
        </w:rPr>
        <w:t>聚焦“双高”校建设“一加强、四打造、五提升”十个方面具体要求，不断创新理念、完善机制、提高质量、拓展空间，</w:t>
      </w:r>
      <w:r>
        <w:rPr>
          <w:rFonts w:hint="eastAsia" w:ascii="仿宋_GB2312" w:hAnsi="仿宋_GB2312" w:eastAsia="仿宋_GB2312" w:cs="仿宋_GB2312"/>
          <w:kern w:val="24"/>
          <w:sz w:val="32"/>
          <w:szCs w:val="32"/>
        </w:rPr>
        <w:t>以“双高”校建设为引领、以深化产教融合、校企合作为重点，以机制改革创新为动力，以提高信息化管理水平为支撑，全力打造技术技能人才培养高地和技术技能创新服务平台，不断提高学院的国际影响力和社会贡献度，</w:t>
      </w:r>
      <w:r>
        <w:rPr>
          <w:rFonts w:hint="eastAsia" w:ascii="仿宋_GB2312" w:hAnsi="仿宋_GB2312" w:eastAsia="仿宋_GB2312" w:cs="仿宋_GB2312"/>
          <w:sz w:val="32"/>
          <w:szCs w:val="32"/>
        </w:rPr>
        <w:t>高质量完成“双高校”首年建设任务，</w:t>
      </w:r>
      <w:r>
        <w:rPr>
          <w:rFonts w:hint="eastAsia" w:ascii="仿宋_GB2312" w:hAnsi="仿宋_GB2312" w:eastAsia="仿宋_GB2312" w:cs="仿宋_GB2312"/>
          <w:kern w:val="24"/>
          <w:sz w:val="32"/>
          <w:szCs w:val="32"/>
        </w:rPr>
        <w:t>为高起步迈进“十四五”而努力奋斗</w:t>
      </w:r>
      <w:r>
        <w:rPr>
          <w:rFonts w:hint="eastAsia" w:ascii="仿宋_GB2312" w:hAnsi="仿宋_GB2312" w:eastAsia="仿宋_GB2312" w:cs="仿宋_GB2312"/>
          <w:sz w:val="32"/>
          <w:szCs w:val="32"/>
        </w:rPr>
        <w:t>。</w:t>
      </w:r>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（三）主要任务</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1.坚持学习贯彻习近平新时代中国特色社会主义思想，切实加强党对学院工作的全面领导</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（1）以政治建设为统领。</w:t>
      </w:r>
      <w:r>
        <w:rPr>
          <w:rFonts w:hint="eastAsia" w:ascii="仿宋_GB2312" w:hAnsi="仿宋_GB2312" w:eastAsia="仿宋_GB2312" w:cs="仿宋_GB2312"/>
          <w:sz w:val="32"/>
          <w:szCs w:val="32"/>
        </w:rPr>
        <w:t>坚持以学习贯彻习近平新时代中国特色社会主义思想为首要，把“不忘初心、牢记使命”作为加强党的建设的永恒课题和全体党员、干部的终身课题，建立“不忘初心、牢记使命”长效机制，以两级中心组为载体，启动“一中心四网格”思想引领体系建设，推进建立每周定期理论学习制度，持续加强党的创新理论学习，落实党的十九届四中全会重点任务要求，不断深化主题教育成果。强化基层意识，丰富调研学习、交流研讨、学习专班等形式，开展领导干部集中调研，切实增强学习质量，提升服务基层的效果，引导广大师生树牢“四个意识”、坚定“四个自信”，坚决做到“两个维护”。</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（2）从严落实全面从严治党主体责任。</w:t>
      </w:r>
      <w:r>
        <w:rPr>
          <w:rFonts w:hint="eastAsia" w:ascii="仿宋_GB2312" w:hAnsi="仿宋_GB2312" w:eastAsia="仿宋_GB2312" w:cs="仿宋_GB2312"/>
          <w:sz w:val="32"/>
          <w:szCs w:val="32"/>
        </w:rPr>
        <w:t>加强党的纪律建设，把纪律教育摆在更加突出的位置，定期研究、部署任务，构建责任体系。以联手把关联席会为载体，紧盯监督重点，开展常态化教育和监督检查，加大对两级议事规则落实、“三重一大”决策和执行、政府采购和三公经费使用的监督检查力度，切实增强纪律教育的针对性实效性。贯彻落实《纪检监察机关处理检举控告工作规则》，坚持纪挺法前，用好监督执纪“四种形态”，持之以恒落实中央八项规定精神，统筹推进学院廉政文化建设，深入开展不作为不担当专项治理和形式主义官僚主义整治，用好问责利器，坚决查处师生反映强烈的重大问题，为学院高质量发展营造风清气正的政治环境。</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（3）加强基层党组织建设。</w:t>
      </w:r>
      <w:r>
        <w:rPr>
          <w:rFonts w:hint="eastAsia" w:ascii="仿宋_GB2312" w:hAnsi="仿宋_GB2312" w:eastAsia="仿宋_GB2312" w:cs="仿宋_GB2312"/>
          <w:sz w:val="32"/>
          <w:szCs w:val="32"/>
        </w:rPr>
        <w:t>以压实管党治党政治责任为重点，以落实“双高建设”中的加强党的建设任务和《关于加强天津市高校党的政治建设的意见》为主要载体，起步实施“一体两层”重大事项决策制度，完善加强党对重要事项领导的制度。全面落实《中国共产党支部工作条例（试行）》，以实施“两载体四项目”为重点推进基层党组织规范化建设，完善“双带头人”配备确保达到100%，提升党支部组织力。推进党支部党员教育载体创新，实施“三着重两融合一提升”工作法，切实加强党员教育管理，促进党建工作与中心任务深度融合，全面加强基层党建工作。持续开展干部教育和监督，举办中层干</w:t>
      </w:r>
      <w:bookmarkStart w:id="0" w:name="_GoBack"/>
      <w:r>
        <w:rPr>
          <w:rFonts w:hint="eastAsia" w:ascii="仿宋_GB2312" w:hAnsi="仿宋_GB2312" w:eastAsia="仿宋_GB2312" w:cs="仿宋_GB2312"/>
          <w:sz w:val="32"/>
          <w:szCs w:val="32"/>
        </w:rPr>
        <w:t>部培训，完善中层后备人才库建设，贯彻干部监督要求，从严</w:t>
      </w:r>
      <w:bookmarkEnd w:id="0"/>
      <w:r>
        <w:rPr>
          <w:rFonts w:hint="eastAsia" w:ascii="仿宋_GB2312" w:hAnsi="仿宋_GB2312" w:eastAsia="仿宋_GB2312" w:cs="仿宋_GB2312"/>
          <w:sz w:val="32"/>
          <w:szCs w:val="32"/>
        </w:rPr>
        <w:t>管理干部。加强统战队伍建设，为学院发展凝聚人才。用心用情做好老干部工作。统筹推进群团改革任务。</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（4）加强宣传思想教育。</w:t>
      </w:r>
      <w:r>
        <w:rPr>
          <w:rFonts w:hint="eastAsia" w:ascii="仿宋_GB2312" w:hAnsi="仿宋_GB2312" w:eastAsia="仿宋_GB2312" w:cs="仿宋_GB2312"/>
          <w:sz w:val="32"/>
          <w:szCs w:val="32"/>
        </w:rPr>
        <w:t>坚持党管意识形态，严格落实意识形态工作责任制要求，强化宣传阵地管理。</w:t>
      </w:r>
      <w:r>
        <w:rPr>
          <w:rFonts w:hint="eastAsia" w:ascii="仿宋_GB2312" w:hAnsi="仿宋" w:eastAsia="仿宋_GB2312"/>
          <w:sz w:val="32"/>
          <w:szCs w:val="32"/>
        </w:rPr>
        <w:t>建设校园导视系统更新学院的路牌、楼宇牌，持续</w:t>
      </w:r>
      <w:r>
        <w:rPr>
          <w:rFonts w:hint="eastAsia" w:ascii="仿宋_GB2312" w:hAnsi="仿宋_GB2312" w:eastAsia="仿宋_GB2312" w:cs="仿宋_GB2312"/>
          <w:sz w:val="32"/>
          <w:szCs w:val="32"/>
        </w:rPr>
        <w:t>打造特色官微，建设新媒体中心，</w:t>
      </w:r>
      <w:r>
        <w:rPr>
          <w:rFonts w:hint="eastAsia" w:ascii="仿宋_GB2312" w:hAnsi="仿宋" w:eastAsia="仿宋_GB2312"/>
          <w:sz w:val="32"/>
          <w:szCs w:val="32"/>
        </w:rPr>
        <w:t>推广抖音公众号，推出学院的场馆、实训室的抖音作品，大力弘扬优秀中华传统文化，加强正面发声，</w:t>
      </w:r>
      <w:r>
        <w:rPr>
          <w:rFonts w:hint="eastAsia" w:ascii="仿宋_GB2312" w:hAnsi="仿宋_GB2312" w:eastAsia="仿宋_GB2312" w:cs="仿宋_GB2312"/>
          <w:sz w:val="32"/>
          <w:szCs w:val="32"/>
        </w:rPr>
        <w:t>守好意识形态前沿阵地。</w:t>
      </w:r>
      <w:r>
        <w:rPr>
          <w:rFonts w:hint="eastAsia" w:ascii="仿宋_GB2312" w:hAnsi="仿宋" w:eastAsia="仿宋_GB2312"/>
          <w:sz w:val="32"/>
          <w:szCs w:val="32"/>
        </w:rPr>
        <w:t>进一步加强外宣工作，与相关媒体签署协议，以“双高”建设、鲁班工坊、职教宣传周等为重点，增强宣传力度。</w:t>
      </w:r>
      <w:r>
        <w:rPr>
          <w:rFonts w:hint="eastAsia" w:ascii="仿宋_GB2312" w:hAnsi="仿宋_GB2312" w:eastAsia="仿宋_GB2312" w:cs="仿宋_GB2312"/>
          <w:sz w:val="32"/>
          <w:szCs w:val="32"/>
        </w:rPr>
        <w:t>加强教材工作规范化建设，做好教材审查选用和监管。开展师德师风教育，完善师德师风考核指标，实行师德考核负面清单制度。</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2.落实立德树人根本任务，提升思政工作水平</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（1）完善协同育人新格局。</w:t>
      </w:r>
      <w:r>
        <w:rPr>
          <w:rFonts w:hint="eastAsia" w:ascii="仿宋_GB2312" w:hAnsi="仿宋_GB2312" w:eastAsia="仿宋_GB2312" w:cs="仿宋_GB2312"/>
          <w:sz w:val="32"/>
          <w:szCs w:val="32"/>
        </w:rPr>
        <w:t>加强党委对思政工作的全面领导及统筹，单设思政部门和独立党支部。健全立德树人落实长效机制，搭建“三全四维”思政育人工作体系，深化十大育人功能，落实各部门思政育人职责，构建教学活动、实践活动、线上线下和校企社融合的四维度育人格局，真正实现全员、全过程、全方位育人，争取在今年天津市思政考核中进入高职院校前十名</w:t>
      </w:r>
      <w:r>
        <w:rPr>
          <w:rFonts w:hint="eastAsia" w:ascii="仿宋_GB2312" w:hAnsi="仿宋" w:eastAsia="仿宋_GB2312"/>
          <w:sz w:val="32"/>
          <w:szCs w:val="32"/>
        </w:rPr>
        <w:t>。</w:t>
      </w:r>
      <w:r>
        <w:rPr>
          <w:rFonts w:hint="eastAsia" w:ascii="仿宋_GB2312" w:hAnsi="仿宋_GB2312" w:eastAsia="仿宋_GB2312" w:cs="仿宋_GB2312"/>
          <w:sz w:val="32"/>
          <w:szCs w:val="32"/>
        </w:rPr>
        <w:t>拓宽育人渠道，选树优秀辅导员、优秀学生干部和先进学生代表，形成辅导员到班干部再到学生的良性互动工作体系，发挥教师引导、学生自我管理在教育管理中积极作用，促进学生管理工作健康发展。</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（2）多维助力学生发展。</w:t>
      </w:r>
      <w:r>
        <w:rPr>
          <w:rFonts w:hint="eastAsia" w:ascii="仿宋_GB2312" w:hAnsi="仿宋_GB2312" w:eastAsia="仿宋_GB2312" w:cs="仿宋_GB2312"/>
          <w:sz w:val="32"/>
          <w:szCs w:val="32"/>
        </w:rPr>
        <w:t>加强学生组织和社团建设，大力开展理想信念、社会主义核心价值观和中华优秀传统文化教育。聚焦困难学生群体，以培养学生劳动实践能力，解决经济困难、促进全面发展为宗旨，完善勤工助学活动相关制度，使之更加规范化、透明化、科学化。持续推进创新创业教育与产业需求融合，做好学生专利培育与申报工作，建立双创工作的保障运行机制，举行多样化创新创业比赛活动。重点关注学生心理健康状况、经济状况变化和少数民族学生动态，将分类培养帮辅工作做实、做细、做深，为学生健康成长，全面发展保驾护航。</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3.深化教育教学改革，推动高质量发展</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（1）充分发挥“双高”专业群引领作用。</w:t>
      </w:r>
      <w:r>
        <w:rPr>
          <w:rFonts w:hint="eastAsia" w:ascii="仿宋_GB2312" w:hAnsi="仿宋_GB2312" w:eastAsia="仿宋_GB2312" w:cs="仿宋_GB2312"/>
          <w:sz w:val="32"/>
          <w:szCs w:val="32"/>
        </w:rPr>
        <w:t>切实发挥《模具设计与制造》《光伏发电技术与应用》两大“双高”专业群建设在人才培养、科学研究、社会服务等方面示范引领作用，</w:t>
      </w:r>
      <w:r>
        <w:rPr>
          <w:rFonts w:hint="eastAsia" w:ascii="仿宋_GB2312" w:hAnsi="仿宋_GB2312" w:eastAsia="仿宋_GB2312" w:cs="仿宋_GB2312"/>
          <w:bCs/>
          <w:sz w:val="32"/>
          <w:szCs w:val="32"/>
        </w:rPr>
        <w:t>不断创新人才培养模式，提高技术服务和职业培训能力，</w:t>
      </w:r>
      <w:r>
        <w:rPr>
          <w:rFonts w:hint="eastAsia" w:ascii="仿宋_GB2312" w:hAnsi="仿宋_GB2312" w:eastAsia="仿宋_GB2312" w:cs="仿宋_GB2312"/>
          <w:sz w:val="32"/>
          <w:szCs w:val="32"/>
        </w:rPr>
        <w:t>带动学院专业群均衡发展。积极发挥学院专业建设指导委员会作用，优化专业结构，统筹调整专业布局，加强专业群内涵建设，打造轻工特色专业群。</w:t>
      </w:r>
    </w:p>
    <w:p>
      <w:pPr>
        <w:pStyle w:val="2"/>
        <w:spacing w:beforeAutospacing="0" w:afterAutospacing="0" w:line="360" w:lineRule="auto"/>
        <w:jc w:val="both"/>
        <w:rPr>
          <w:rFonts w:hint="default" w:ascii="仿宋_GB2312" w:hAnsi="仿宋_GB2312" w:eastAsia="仿宋_GB2312" w:cs="仿宋_GB2312"/>
          <w:b w:val="0"/>
          <w:sz w:val="32"/>
          <w:szCs w:val="32"/>
        </w:rPr>
      </w:pPr>
      <w:r>
        <w:rPr>
          <w:rFonts w:ascii="仿宋_GB2312" w:hAnsi="仿宋_GB2312" w:eastAsia="仿宋_GB2312" w:cs="仿宋_GB2312"/>
          <w:sz w:val="32"/>
          <w:szCs w:val="32"/>
        </w:rPr>
        <w:t xml:space="preserve">   （2）切实做好扩招后教育教学工作。</w:t>
      </w:r>
      <w:r>
        <w:rPr>
          <w:rFonts w:ascii="仿宋_GB2312" w:hAnsi="仿宋_GB2312" w:eastAsia="仿宋_GB2312" w:cs="仿宋_GB2312"/>
          <w:b w:val="0"/>
          <w:sz w:val="32"/>
          <w:szCs w:val="32"/>
        </w:rPr>
        <w:t>落实教育部《关于做好扩招后高职教育教学管理工作的指导意见》，适应高职扩招新要求，全面改进人才培养全流程、各环节。坚持因材施教、按需施教，进一步推行现代学徒制人才培养模式。组织开展线上线下、集中分散、校内校外等多样化教学方式，确保教学管理平稳有序。开展扩招学生管理、学习成果认定、积累和转换、以及学分替代等研究与实践，采用信息化手段加强扩招生源教育教育过程管理和教学质量监控，实现高质量就业。加强招生就业工作，合理调整生源结构，探索建立企业生源基地，确保完成年度招生任务。增强毕业生就业竞争力，提高就业质量，就业率不低于97%。加强订单培养工作力度，订单培养学生不低于毕业生总数25%。</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（3）全面加强师资队伍建设。</w:t>
      </w:r>
      <w:r>
        <w:rPr>
          <w:rFonts w:hint="eastAsia" w:ascii="仿宋_GB2312" w:hAnsi="仿宋_GB2312" w:eastAsia="仿宋_GB2312" w:cs="仿宋_GB2312"/>
          <w:sz w:val="32"/>
          <w:szCs w:val="32"/>
        </w:rPr>
        <w:t>以国家级教师教学创新团队建设为抓手，以“</w:t>
      </w:r>
      <w:r>
        <w:rPr>
          <w:rFonts w:hint="eastAsia" w:ascii="仿宋_GB2312" w:hAnsi="仿宋_GB2312" w:eastAsia="仿宋_GB2312" w:cs="仿宋_GB2312"/>
          <w:bCs/>
          <w:sz w:val="32"/>
          <w:szCs w:val="32"/>
        </w:rPr>
        <w:t>双高”</w:t>
      </w:r>
      <w:r>
        <w:rPr>
          <w:rFonts w:hint="eastAsia" w:ascii="仿宋_GB2312" w:hAnsi="仿宋_GB2312" w:eastAsia="仿宋_GB2312" w:cs="仿宋_GB2312"/>
          <w:sz w:val="32"/>
          <w:szCs w:val="32"/>
        </w:rPr>
        <w:t>专业群建设为载体，全面推进“三教改革”，打造技术技能人才培养高地。贯彻《新时代高等学校思想政治理论课教师队伍建设规定》，切实加强思政教师队伍建设，搭建“三级培训体系”。推动思政理论课改革创新，制定并开展“一师一优课、一课一名师”思政专项计划。发挥思想政治理论课和专业课协同“筑渠、种田”功能，再建设40门院级“课程思政”精品课程。组织开展教师教学能力专项培训与竞赛活动，鼓励教师参加全国职业技能大赛，继续支持教师赴境外学习研修，不断为教师提升职业能力赋能。</w:t>
      </w:r>
    </w:p>
    <w:p>
      <w:pPr>
        <w:widowControl w:val="0"/>
        <w:spacing w:after="0" w:line="360" w:lineRule="auto"/>
        <w:ind w:firstLine="640" w:firstLineChars="200"/>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4）巩固提升技能大赛成果。</w:t>
      </w:r>
      <w:r>
        <w:rPr>
          <w:rFonts w:hint="eastAsia" w:ascii="仿宋_GB2312" w:hAnsi="仿宋_GB2312" w:eastAsia="仿宋_GB2312" w:cs="仿宋_GB2312"/>
          <w:sz w:val="32"/>
          <w:szCs w:val="32"/>
        </w:rPr>
        <w:t>做好全国职业院校技能大赛和教师教学能力大赛的参赛及承办工作，积极备赛全国“互联网+”创新创业大赛。加强赛前训练，提高参赛质量，力争取得更好成绩。继续在历年参赛且具备设备条件的专业推动大赛成果转化工作，发挥大赛对教育教学引领作用。</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4.提高社会服务能力，争创全国示范性职教集团</w:t>
      </w:r>
    </w:p>
    <w:p>
      <w:pPr>
        <w:widowControl w:val="0"/>
        <w:spacing w:after="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（1）提高科研服务与培训能力。</w:t>
      </w:r>
      <w:r>
        <w:rPr>
          <w:rFonts w:hint="eastAsia" w:ascii="仿宋_GB2312" w:hAnsi="仿宋_GB2312" w:eastAsia="仿宋_GB2312" w:cs="仿宋_GB2312"/>
          <w:sz w:val="32"/>
          <w:szCs w:val="32"/>
        </w:rPr>
        <w:t>推进学院技术创新和研发能力的提升，依托二级学院协同创新中心，为中小微企业技术更新和产业转型升级提供技术支持，完成各级各类技术服务项目和纵向课题40项，完成专利申报20项，其中发明专利2项、实用新型18项，努力提高横、纵向科研经费到款额。加大课题监督管理力度，有序开展工作，重点推进国家级课题研究进度，确保按时结题。持续开展社会服务，利用学院承接的天津市职业培训包即地毯设计师和小风电利用工两个职业工种的8个培训包项目开展培训工作，2020年确保完成培训18000人次。全面完成学院与甘肃、新疆、河北等东西部协作地区的脱贫攻坚、职教帮扶任务，在专业建设、教学管理、师资培训、资源共享、成果交流等方面积极开展工作。面向渤轻集团举办“渤轻大讲堂”专项培训。加强与社区联系，依托海河教育园区社区学院，服务市民终身学习。</w:t>
      </w:r>
    </w:p>
    <w:p>
      <w:pPr>
        <w:widowControl w:val="0"/>
        <w:spacing w:after="0" w:line="360" w:lineRule="auto"/>
        <w:ind w:firstLine="643" w:firstLineChars="200"/>
        <w:jc w:val="both"/>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（2）高质量建设模具职教集团</w:t>
      </w:r>
      <w:r>
        <w:rPr>
          <w:rFonts w:hint="eastAsia" w:ascii="仿宋_GB2312" w:hAnsi="仿宋_GB2312" w:eastAsia="仿宋_GB2312" w:cs="仿宋_GB2312"/>
          <w:sz w:val="32"/>
          <w:szCs w:val="32"/>
        </w:rPr>
        <w:t>。对标全国示范性职教集团建设标准，聚集《模具设计与制造》专业群建设优势，依托天津模具协会行业影响力，整合资源、健全机</w:t>
      </w:r>
      <w:r>
        <w:rPr>
          <w:rFonts w:hint="eastAsia" w:ascii="仿宋_GB2312" w:hAnsi="仿宋_GB2312" w:eastAsia="仿宋_GB2312" w:cs="仿宋_GB2312"/>
          <w:bCs/>
          <w:sz w:val="32"/>
          <w:szCs w:val="32"/>
        </w:rPr>
        <w:t>制，提升</w:t>
      </w:r>
      <w:r>
        <w:rPr>
          <w:rFonts w:hint="eastAsia" w:ascii="仿宋_GB2312" w:hAnsi="仿宋_GB2312" w:eastAsia="仿宋_GB2312" w:cs="仿宋_GB2312"/>
          <w:sz w:val="32"/>
          <w:szCs w:val="32"/>
        </w:rPr>
        <w:t>京津冀模具现代职业教育集团服务产业发展的贡献里，</w:t>
      </w:r>
      <w:r>
        <w:rPr>
          <w:rFonts w:hint="eastAsia" w:ascii="仿宋_GB2312" w:hAnsi="仿宋_GB2312" w:eastAsia="仿宋_GB2312" w:cs="仿宋_GB2312"/>
          <w:bCs/>
          <w:sz w:val="32"/>
          <w:szCs w:val="32"/>
        </w:rPr>
        <w:t>争创全国示范性职业教育集团。</w:t>
      </w:r>
    </w:p>
    <w:p>
      <w:pPr>
        <w:widowControl w:val="0"/>
        <w:spacing w:after="0" w:line="360" w:lineRule="auto"/>
        <w:ind w:firstLine="643" w:firstLineChars="200"/>
        <w:jc w:val="both"/>
        <w:rPr>
          <w:rFonts w:ascii="仿宋_GB2312" w:hAnsi="仿宋_GB2312" w:eastAsia="仿宋_GB2312" w:cs="仿宋_GB2312"/>
          <w:bCs/>
          <w:sz w:val="32"/>
          <w:szCs w:val="32"/>
        </w:rPr>
      </w:pPr>
      <w:r>
        <w:rPr>
          <w:rFonts w:hint="eastAsia" w:ascii="仿宋_GB2312" w:hAnsi="仿宋_GB2312" w:eastAsia="仿宋_GB2312" w:cs="仿宋_GB2312"/>
          <w:b/>
          <w:sz w:val="32"/>
          <w:szCs w:val="32"/>
        </w:rPr>
        <w:t>（3）牵头成立京津冀新能源职教集团。</w:t>
      </w:r>
      <w:r>
        <w:rPr>
          <w:rFonts w:hint="eastAsia" w:ascii="仿宋_GB2312" w:hAnsi="仿宋_GB2312" w:eastAsia="仿宋_GB2312" w:cs="仿宋_GB2312"/>
          <w:sz w:val="32"/>
          <w:szCs w:val="32"/>
        </w:rPr>
        <w:t>整合三地新能源行业、企业、学校资源，牵头成立京津冀新能源现代职业教育集团。促进三地之间、校企之间、中高职以及应用技术型本科之间全方位的衔接合作，创新新能源领域技术技能人才系统培养机制，助力京津冀协同发展。</w:t>
      </w:r>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5.深化人事制度改革，激发教职工活力</w:t>
      </w:r>
    </w:p>
    <w:p>
      <w:pPr>
        <w:widowControl w:val="0"/>
        <w:spacing w:after="0" w:line="360" w:lineRule="auto"/>
        <w:ind w:firstLine="800" w:firstLineChars="250"/>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加快落实《关于全面深化新时代教师队伍建设改革的实施意见》，完善师资队伍建设相关制度，探讨人才引进、高水平专业团队建设、优化教师分层分类管理等制度改革，打造高水平双师教师队伍，为创建高水平高职院校提供坚实的人才保障。深化职业教育创新改革，落实专业技术职称“自主评审”制度，切实发挥学院在职称评审中的主体作用。加大人事分配制度改革力度，落实重点工作和重点项目绩效考核和奖励制度，进一步调动和激发工作人员立足岗位、创新奉献、奋发进取的奋斗精神，凝聚正能量，迸发新活力，提升学院长远发展的竞争力。进一步落实《事业单位工作人员管理条例》，积极推进聘用合同管理，2020年内完成聘用合同签订。有序推进退休人员社会化管理工作，落实责任，协调配合，确保稳定。</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6. 深化鲁班工坊建设，提升国际化水平</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深化印度鲁班工坊建设，继续开展EPIP师资培训；组织中印院校师生互访交流；落实在印中资企业订单培养计划，为“走出去”企业培养本土化技术技能人才；促进中印人文交流，继续筹办第三届中印职教论坛；完成印度鲁班工坊建设市级评估工作。做好埃及鲁班工坊揭牌工作，完善埃及鲁班工坊教学资源建设，保证埃及鲁班工坊顺利运行。按规划完成鲁班工坊建设·体验馆三期提升改造项目。探索四个二级学院在海外建立师资培训基地工作，提升教师国际化水平。筹划并主办 “2020年第七届中新职业教育发展论坛”。</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7.加强信息化建设，完成增建项目主体建设</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健全《天津轻工职业技术学院信息化数据标准》，落实《职业院校数字校园建设规范》，加速建设信息化管理平台建设，消除信息孤岛，保证信息安全，推动智慧校园建设。继续推进学院产教融合工程中心和学生生活设施增建项目，强化施工现场管理，多角度严格把控基建项目建设质量，年内完成主体建设，2021年5月竣工。继续推进节约型校园建设，完成生活污水回用建设项目，进一步打造节水节能平台，建设节水节能教育基地。</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8.提升学校治理水平，推进治理能力现代化</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做好学院“十四五”发展规划编制工作，统筹谋划学院“十四五”期间教育改革发展的新思路、新目标、新举措。完善内部质量保证体系，加强教育教学督导，建立学生评价机制，以数据平台为基础，推进教学诊断与改进工作。深化预算过程管理，强化预算执行，加强绩效评价，形成务实高效的预算绩效指标体系。加大财务支出审计力度，对重大政策实施、重大投资项目等开展全过程跟踪审计，在常规审计基础上，向绩效审计、管理审计延伸。建立国有资产管理系统，建立资产清查管理机制，全面开展学院资产清查工作及二轻党校转隶的资产清查工作，确保国有资产安全。落实上级部门行政管理要求，完成学院所属企业体制改革工作，进一步推进档案信息化和信息公开等工作。</w:t>
      </w:r>
    </w:p>
    <w:p>
      <w:pPr>
        <w:widowControl w:val="0"/>
        <w:spacing w:after="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9.强化安全稳定工作，打造平安校园</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落实《天津市关于加强校园安全工作16条措施》，推进“平安校园标准化”建设。强化维护学院稳定工作机制，做好防范风险、化解矛盾各项工作，全面增强校园防风险能力。加强食品卫生安全管理，做到校内食品安全监管全覆盖，积极创建“国家食品安全示范区”食堂。定期开展学生专题安全教育、宣传和应急演练，加强宿舍安全检查力度，确保校园安全稳定。</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各位代表，同志们，实干铸就忠诚，创新彰显担当。让我们更加紧密地团结在以习近平同志为核心的党中央周围，在渤海轻工投资集团和市教育两委的领导下，</w:t>
      </w:r>
      <w:r>
        <w:rPr>
          <w:rFonts w:hint="eastAsia" w:ascii="仿宋_GB2312" w:hAnsi="微软雅黑" w:cs="微软雅黑"/>
          <w:sz w:val="32"/>
          <w:szCs w:val="32"/>
        </w:rPr>
        <w:t>勠</w:t>
      </w:r>
      <w:r>
        <w:rPr>
          <w:rFonts w:hint="eastAsia" w:ascii="仿宋_GB2312" w:hAnsi="仿宋_GB2312" w:eastAsia="仿宋_GB2312" w:cs="仿宋_GB2312"/>
          <w:sz w:val="32"/>
          <w:szCs w:val="32"/>
        </w:rPr>
        <w:t>力同心，拼搏进取，高质量完成“双高校”建设各项任务，为学院高起步迈入“十四五”作出积极贡献。</w:t>
      </w:r>
    </w:p>
    <w:sectPr>
      <w:footerReference r:id="rId4" w:type="default"/>
      <w:pgSz w:w="11906" w:h="16838"/>
      <w:pgMar w:top="1383" w:right="1576" w:bottom="138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YmM2OGYzMjQ1MzkzZTliMGEzYmRiNDc0YzVjZTUifQ=="/>
  </w:docVars>
  <w:rsids>
    <w:rsidRoot w:val="009E66CA"/>
    <w:rsid w:val="000159D6"/>
    <w:rsid w:val="00026922"/>
    <w:rsid w:val="00033276"/>
    <w:rsid w:val="00044E0F"/>
    <w:rsid w:val="00056C6E"/>
    <w:rsid w:val="00076E35"/>
    <w:rsid w:val="00093734"/>
    <w:rsid w:val="000A7107"/>
    <w:rsid w:val="000B1413"/>
    <w:rsid w:val="000B6F39"/>
    <w:rsid w:val="000C323F"/>
    <w:rsid w:val="000D1CA9"/>
    <w:rsid w:val="000D3294"/>
    <w:rsid w:val="000F541F"/>
    <w:rsid w:val="00100E5E"/>
    <w:rsid w:val="0013143A"/>
    <w:rsid w:val="00145956"/>
    <w:rsid w:val="00167998"/>
    <w:rsid w:val="001775C3"/>
    <w:rsid w:val="00177F85"/>
    <w:rsid w:val="001B0A81"/>
    <w:rsid w:val="001B4E86"/>
    <w:rsid w:val="001C01B9"/>
    <w:rsid w:val="001C0EB7"/>
    <w:rsid w:val="001C394B"/>
    <w:rsid w:val="001E4628"/>
    <w:rsid w:val="001E68EB"/>
    <w:rsid w:val="002006D1"/>
    <w:rsid w:val="00207403"/>
    <w:rsid w:val="002111A9"/>
    <w:rsid w:val="002114AC"/>
    <w:rsid w:val="00215834"/>
    <w:rsid w:val="002174C2"/>
    <w:rsid w:val="00220CEA"/>
    <w:rsid w:val="0024220B"/>
    <w:rsid w:val="002617EC"/>
    <w:rsid w:val="002709E2"/>
    <w:rsid w:val="00280691"/>
    <w:rsid w:val="00281CBB"/>
    <w:rsid w:val="00286CF5"/>
    <w:rsid w:val="00287503"/>
    <w:rsid w:val="002C58BA"/>
    <w:rsid w:val="002D59F8"/>
    <w:rsid w:val="002F0003"/>
    <w:rsid w:val="0034746A"/>
    <w:rsid w:val="00353026"/>
    <w:rsid w:val="00353D61"/>
    <w:rsid w:val="00361927"/>
    <w:rsid w:val="00395A1C"/>
    <w:rsid w:val="003A1A5C"/>
    <w:rsid w:val="003C1EFC"/>
    <w:rsid w:val="003E6B9C"/>
    <w:rsid w:val="003E6BB7"/>
    <w:rsid w:val="003F104F"/>
    <w:rsid w:val="00400994"/>
    <w:rsid w:val="00403255"/>
    <w:rsid w:val="004063D7"/>
    <w:rsid w:val="00407FA3"/>
    <w:rsid w:val="00424492"/>
    <w:rsid w:val="00427653"/>
    <w:rsid w:val="00434052"/>
    <w:rsid w:val="00452DAB"/>
    <w:rsid w:val="00456F5B"/>
    <w:rsid w:val="004651B3"/>
    <w:rsid w:val="00476388"/>
    <w:rsid w:val="0049547F"/>
    <w:rsid w:val="004B502C"/>
    <w:rsid w:val="004B6570"/>
    <w:rsid w:val="004C50E8"/>
    <w:rsid w:val="004E2AFF"/>
    <w:rsid w:val="004E3982"/>
    <w:rsid w:val="004E72ED"/>
    <w:rsid w:val="004F0B26"/>
    <w:rsid w:val="004F1C4D"/>
    <w:rsid w:val="004F5CC2"/>
    <w:rsid w:val="005026BF"/>
    <w:rsid w:val="005130BF"/>
    <w:rsid w:val="00521CD2"/>
    <w:rsid w:val="005228EF"/>
    <w:rsid w:val="005235DE"/>
    <w:rsid w:val="00554A13"/>
    <w:rsid w:val="005745ED"/>
    <w:rsid w:val="005804F4"/>
    <w:rsid w:val="0058766E"/>
    <w:rsid w:val="0059231A"/>
    <w:rsid w:val="0059621C"/>
    <w:rsid w:val="00597BEA"/>
    <w:rsid w:val="005A1270"/>
    <w:rsid w:val="005A4CE0"/>
    <w:rsid w:val="005C34FA"/>
    <w:rsid w:val="005C761D"/>
    <w:rsid w:val="005D476C"/>
    <w:rsid w:val="005D5CD7"/>
    <w:rsid w:val="005D5D1D"/>
    <w:rsid w:val="005E3915"/>
    <w:rsid w:val="005E7735"/>
    <w:rsid w:val="006047C0"/>
    <w:rsid w:val="00620A83"/>
    <w:rsid w:val="00620B14"/>
    <w:rsid w:val="0063136D"/>
    <w:rsid w:val="00631A9D"/>
    <w:rsid w:val="00635A2E"/>
    <w:rsid w:val="00650630"/>
    <w:rsid w:val="006642D2"/>
    <w:rsid w:val="006B5B0F"/>
    <w:rsid w:val="006D4D9D"/>
    <w:rsid w:val="00701EEF"/>
    <w:rsid w:val="00707EBA"/>
    <w:rsid w:val="00717274"/>
    <w:rsid w:val="00734326"/>
    <w:rsid w:val="00750F86"/>
    <w:rsid w:val="00751BF3"/>
    <w:rsid w:val="0076407B"/>
    <w:rsid w:val="00787F1D"/>
    <w:rsid w:val="007A25BB"/>
    <w:rsid w:val="007B0D57"/>
    <w:rsid w:val="007B486D"/>
    <w:rsid w:val="007C243C"/>
    <w:rsid w:val="007D1DC1"/>
    <w:rsid w:val="007D4345"/>
    <w:rsid w:val="007D4DCF"/>
    <w:rsid w:val="00806E37"/>
    <w:rsid w:val="0083023C"/>
    <w:rsid w:val="008441CD"/>
    <w:rsid w:val="00851806"/>
    <w:rsid w:val="0085251D"/>
    <w:rsid w:val="00853259"/>
    <w:rsid w:val="00865A28"/>
    <w:rsid w:val="00877715"/>
    <w:rsid w:val="00881035"/>
    <w:rsid w:val="008A0FD0"/>
    <w:rsid w:val="008C2F60"/>
    <w:rsid w:val="008D153F"/>
    <w:rsid w:val="008D5758"/>
    <w:rsid w:val="008E6F05"/>
    <w:rsid w:val="008F153C"/>
    <w:rsid w:val="0092420B"/>
    <w:rsid w:val="009305D1"/>
    <w:rsid w:val="00933CB7"/>
    <w:rsid w:val="009507B6"/>
    <w:rsid w:val="00957234"/>
    <w:rsid w:val="0097432B"/>
    <w:rsid w:val="00984820"/>
    <w:rsid w:val="0099128C"/>
    <w:rsid w:val="009A7CD8"/>
    <w:rsid w:val="009B1202"/>
    <w:rsid w:val="009C0C89"/>
    <w:rsid w:val="009E66CA"/>
    <w:rsid w:val="009E679E"/>
    <w:rsid w:val="009E6ECD"/>
    <w:rsid w:val="009F0BA0"/>
    <w:rsid w:val="00A0141E"/>
    <w:rsid w:val="00A340C4"/>
    <w:rsid w:val="00A370D1"/>
    <w:rsid w:val="00A85E7B"/>
    <w:rsid w:val="00A87D94"/>
    <w:rsid w:val="00AA365F"/>
    <w:rsid w:val="00AA6EDA"/>
    <w:rsid w:val="00AB4F96"/>
    <w:rsid w:val="00AC77B0"/>
    <w:rsid w:val="00AC7FD3"/>
    <w:rsid w:val="00AD6B61"/>
    <w:rsid w:val="00AE5190"/>
    <w:rsid w:val="00B007C9"/>
    <w:rsid w:val="00B16C89"/>
    <w:rsid w:val="00B17EF7"/>
    <w:rsid w:val="00B307C4"/>
    <w:rsid w:val="00B430E5"/>
    <w:rsid w:val="00B576D4"/>
    <w:rsid w:val="00B95FE4"/>
    <w:rsid w:val="00BA2888"/>
    <w:rsid w:val="00BB5212"/>
    <w:rsid w:val="00BC7D17"/>
    <w:rsid w:val="00BD4EF0"/>
    <w:rsid w:val="00C00BCD"/>
    <w:rsid w:val="00C373AF"/>
    <w:rsid w:val="00C4262F"/>
    <w:rsid w:val="00C53A98"/>
    <w:rsid w:val="00C5530A"/>
    <w:rsid w:val="00C60622"/>
    <w:rsid w:val="00C81FF7"/>
    <w:rsid w:val="00C95941"/>
    <w:rsid w:val="00CC0ED6"/>
    <w:rsid w:val="00CC4BEA"/>
    <w:rsid w:val="00CD2C56"/>
    <w:rsid w:val="00CF0718"/>
    <w:rsid w:val="00CF39CA"/>
    <w:rsid w:val="00D0115A"/>
    <w:rsid w:val="00D05284"/>
    <w:rsid w:val="00D12F77"/>
    <w:rsid w:val="00D1770A"/>
    <w:rsid w:val="00D22F15"/>
    <w:rsid w:val="00D37C71"/>
    <w:rsid w:val="00D43DC4"/>
    <w:rsid w:val="00D51A75"/>
    <w:rsid w:val="00D569CE"/>
    <w:rsid w:val="00D72A0E"/>
    <w:rsid w:val="00D73512"/>
    <w:rsid w:val="00D804E4"/>
    <w:rsid w:val="00D86443"/>
    <w:rsid w:val="00DC4413"/>
    <w:rsid w:val="00E0505A"/>
    <w:rsid w:val="00E119CE"/>
    <w:rsid w:val="00E15BC9"/>
    <w:rsid w:val="00E35693"/>
    <w:rsid w:val="00E4516F"/>
    <w:rsid w:val="00E54F27"/>
    <w:rsid w:val="00E749F0"/>
    <w:rsid w:val="00E818AB"/>
    <w:rsid w:val="00EB027D"/>
    <w:rsid w:val="00EB215D"/>
    <w:rsid w:val="00EB2D5F"/>
    <w:rsid w:val="00EC385A"/>
    <w:rsid w:val="00EE0D60"/>
    <w:rsid w:val="00EF7159"/>
    <w:rsid w:val="00F04326"/>
    <w:rsid w:val="00F15E48"/>
    <w:rsid w:val="00F260C8"/>
    <w:rsid w:val="00F521A5"/>
    <w:rsid w:val="00F87FB7"/>
    <w:rsid w:val="00F931CD"/>
    <w:rsid w:val="00FA1BA4"/>
    <w:rsid w:val="00FA771F"/>
    <w:rsid w:val="00FE4A31"/>
    <w:rsid w:val="00FF3C8E"/>
    <w:rsid w:val="08652A82"/>
    <w:rsid w:val="14734393"/>
    <w:rsid w:val="180C3563"/>
    <w:rsid w:val="2154079E"/>
    <w:rsid w:val="2AAA2DD2"/>
    <w:rsid w:val="38EC0A41"/>
    <w:rsid w:val="3AF65074"/>
    <w:rsid w:val="56762A7A"/>
    <w:rsid w:val="5A3726A5"/>
    <w:rsid w:val="6B9042A0"/>
    <w:rsid w:val="6E850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paragraph" w:styleId="2">
    <w:name w:val="heading 2"/>
    <w:basedOn w:val="1"/>
    <w:next w:val="1"/>
    <w:semiHidden/>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alloon Text"/>
    <w:basedOn w:val="1"/>
    <w:link w:val="15"/>
    <w:uiPriority w:val="0"/>
    <w:pPr>
      <w:spacing w:after="0"/>
    </w:pPr>
    <w:rPr>
      <w:sz w:val="18"/>
      <w:szCs w:val="18"/>
    </w:rPr>
  </w:style>
  <w:style w:type="paragraph" w:styleId="5">
    <w:name w:val="footer"/>
    <w:basedOn w:val="1"/>
    <w:qFormat/>
    <w:uiPriority w:val="99"/>
    <w:pPr>
      <w:tabs>
        <w:tab w:val="center" w:pos="4153"/>
        <w:tab w:val="right" w:pos="8306"/>
      </w:tabs>
    </w:pPr>
    <w:rPr>
      <w:sz w:val="18"/>
      <w:szCs w:val="18"/>
    </w:rPr>
  </w:style>
  <w:style w:type="paragraph" w:styleId="6">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rPr>
      <w:rFonts w:ascii="宋体" w:hAnsi="宋体" w:eastAsia="宋体"/>
      <w:sz w:val="24"/>
      <w:szCs w:val="24"/>
    </w:rPr>
  </w:style>
  <w:style w:type="character" w:styleId="10">
    <w:name w:val="Strong"/>
    <w:basedOn w:val="9"/>
    <w:qFormat/>
    <w:uiPriority w:val="22"/>
    <w:rPr>
      <w:b/>
      <w:bCs/>
    </w:rPr>
  </w:style>
  <w:style w:type="character" w:customStyle="1" w:styleId="11">
    <w:name w:val="hei141"/>
    <w:qFormat/>
    <w:uiPriority w:val="0"/>
    <w:rPr>
      <w:rFonts w:ascii="宋体" w:hAnsi="宋体" w:eastAsia="宋体"/>
      <w:color w:val="000000"/>
      <w:sz w:val="21"/>
      <w:u w:val="none"/>
    </w:rPr>
  </w:style>
  <w:style w:type="character" w:customStyle="1" w:styleId="12">
    <w:name w:val="标题 2 Char"/>
    <w:qFormat/>
    <w:uiPriority w:val="0"/>
    <w:rPr>
      <w:rFonts w:ascii="Arial" w:hAnsi="Arial" w:eastAsia="黑体"/>
      <w:b/>
      <w:sz w:val="32"/>
    </w:rPr>
  </w:style>
  <w:style w:type="paragraph" w:styleId="13">
    <w:name w:val="List Paragraph"/>
    <w:basedOn w:val="1"/>
    <w:qFormat/>
    <w:uiPriority w:val="34"/>
    <w:pPr>
      <w:ind w:firstLine="420" w:firstLineChars="200"/>
    </w:pPr>
  </w:style>
  <w:style w:type="character" w:customStyle="1" w:styleId="14">
    <w:name w:val="页眉 字符"/>
    <w:basedOn w:val="9"/>
    <w:link w:val="6"/>
    <w:qFormat/>
    <w:uiPriority w:val="0"/>
    <w:rPr>
      <w:rFonts w:ascii="Tahoma" w:hAnsi="Tahoma" w:eastAsia="微软雅黑" w:cs="宋体"/>
      <w:sz w:val="18"/>
      <w:szCs w:val="18"/>
    </w:rPr>
  </w:style>
  <w:style w:type="character" w:customStyle="1" w:styleId="15">
    <w:name w:val="批注框文本 字符"/>
    <w:basedOn w:val="9"/>
    <w:link w:val="4"/>
    <w:uiPriority w:val="0"/>
    <w:rPr>
      <w:rFonts w:ascii="Tahoma" w:hAnsi="Tahoma" w:eastAsia="微软雅黑"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A92324DF26441B980B3106C2FC3C53"/>
        <w:style w:val=""/>
        <w:category>
          <w:name w:val="常规"/>
          <w:gallery w:val="placeholder"/>
        </w:category>
        <w:types>
          <w:type w:val="bbPlcHdr"/>
        </w:types>
        <w:behaviors>
          <w:behavior w:val="content"/>
        </w:behaviors>
        <w:description w:val=""/>
        <w:guid w:val="{AD7E6825-925A-4E87-B7D7-BFE86118BB7E}"/>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B64D7"/>
    <w:rsid w:val="00001598"/>
    <w:rsid w:val="000B6DFC"/>
    <w:rsid w:val="000F374C"/>
    <w:rsid w:val="00126E09"/>
    <w:rsid w:val="00202D2A"/>
    <w:rsid w:val="00207EB2"/>
    <w:rsid w:val="00293E02"/>
    <w:rsid w:val="003D665A"/>
    <w:rsid w:val="004E1BA6"/>
    <w:rsid w:val="005B4AA4"/>
    <w:rsid w:val="006B64D7"/>
    <w:rsid w:val="00733022"/>
    <w:rsid w:val="008B0ED9"/>
    <w:rsid w:val="00933A21"/>
    <w:rsid w:val="00964DD3"/>
    <w:rsid w:val="009D4F1E"/>
    <w:rsid w:val="00A32680"/>
    <w:rsid w:val="00AB71D8"/>
    <w:rsid w:val="00B32FDE"/>
    <w:rsid w:val="00D53AC2"/>
    <w:rsid w:val="00D703B8"/>
    <w:rsid w:val="00EE36EB"/>
    <w:rsid w:val="00EF3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A92324DF26441B980B3106C2FC3C5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10776</Words>
  <Characters>10983</Characters>
  <Lines>78</Lines>
  <Paragraphs>22</Paragraphs>
  <TotalTime>37</TotalTime>
  <ScaleCrop>false</ScaleCrop>
  <LinksUpToDate>false</LinksUpToDate>
  <CharactersWithSpaces>10992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2020-02-07T19:38:00Z</dcterms:created>
  <dc:creator>18802</dc:creator>
  <cp:lastModifiedBy>WPS_1559730103</cp:lastModifiedBy>
  <dcterms:modified xsi:type="dcterms:W3CDTF">2022-10-22T03:26:59Z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29D4BF444A7E45DBACF41D14CFAC21FB</vt:lpwstr>
  </property>
</Properties>
</file>