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4108" w:rsidRDefault="00AD2503">
      <w:pPr>
        <w:spacing w:line="400" w:lineRule="exact"/>
        <w:rPr>
          <w:rFonts w:ascii="宋体" w:hAnsi="宋体"/>
          <w:b/>
          <w:kern w:val="0"/>
          <w:sz w:val="24"/>
          <w:szCs w:val="24"/>
        </w:rPr>
      </w:pPr>
      <w:r>
        <w:rPr>
          <w:rFonts w:ascii="宋体" w:hAnsi="宋体" w:hint="eastAsia"/>
          <w:b/>
          <w:kern w:val="0"/>
          <w:sz w:val="24"/>
          <w:szCs w:val="24"/>
        </w:rPr>
        <w:t>（</w:t>
      </w:r>
      <w:r>
        <w:rPr>
          <w:rFonts w:ascii="宋体" w:hAnsi="宋体" w:hint="eastAsia"/>
          <w:b/>
          <w:kern w:val="0"/>
          <w:sz w:val="24"/>
          <w:szCs w:val="24"/>
        </w:rPr>
        <w:t>30</w:t>
      </w:r>
      <w:r>
        <w:rPr>
          <w:rFonts w:ascii="宋体" w:hAnsi="宋体" w:hint="eastAsia"/>
          <w:b/>
          <w:kern w:val="0"/>
          <w:sz w:val="24"/>
          <w:szCs w:val="24"/>
        </w:rPr>
        <w:t>）</w:t>
      </w:r>
      <w:bookmarkStart w:id="0" w:name="_GoBack"/>
      <w:r>
        <w:rPr>
          <w:rFonts w:ascii="宋体" w:hAnsi="宋体" w:hint="eastAsia"/>
          <w:b/>
          <w:kern w:val="0"/>
          <w:sz w:val="24"/>
          <w:szCs w:val="24"/>
        </w:rPr>
        <w:t>艺术教育发展年度报告</w:t>
      </w:r>
      <w:bookmarkEnd w:id="0"/>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在十九大报告中明确指出，要加快生态文明体制改革，建设美丽中国，并全面布局未来生态建设的具体结构和方式，将生态文明建设与经济建设、政治建设、文化建设一同作为我国未来发展的主题和方向。高等职业院校是培养我国高素质技术技能人才的摇篮，为我国产业升级和经济社会转型提供了有力的人才支撑。提升高职学生的生态观念，有利于促进生态思想的全民普及，强化生态文明建设的群众基础。高职院校是生态思想宣传与教育的前沿阵地，高等职业人才的生态观念直接影响了我国未来生态思想传播的整体质量以及生态建设的实践质量。</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天津轻工职业技术学院作为</w:t>
      </w:r>
      <w:r>
        <w:rPr>
          <w:rFonts w:ascii="宋体" w:hAnsi="宋体" w:hint="eastAsia"/>
          <w:kern w:val="0"/>
          <w:sz w:val="24"/>
          <w:szCs w:val="24"/>
        </w:rPr>
        <w:t>国家级优秀示范性骨干高职院校和中国特色高水平高职学校和专业建设计划建设单位，高度重视学生的综合素质培养，全面贯彻党的教育方针，以《国家职业教育改革实施方案》为指导，落实立德树人根本任务，发展素质教育，培养德智体美劳全面发展的社会主义建设者和接班人。</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学院紧密结合“双高”院校建设要求，努力打造技术技能人才培养高地，将社会主义核心价值观教育贯穿技术技能人才培养全过程。坚持工学结合、知行合一，加强学生认知能力、合作能力、创新能力和职业能力培养。加强劳动教育，以劳树德、以劳增智、以劳强体、以劳育美。培育和传承工匠精</w:t>
      </w:r>
      <w:r>
        <w:rPr>
          <w:rFonts w:ascii="宋体" w:hAnsi="宋体" w:hint="eastAsia"/>
          <w:kern w:val="0"/>
          <w:sz w:val="24"/>
          <w:szCs w:val="24"/>
        </w:rPr>
        <w:t>神，引导学生养成严谨专注、敬业专业、精益求精和追求卓越的品质。</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生态文明教育是落实“三全育人”的重要载体，是实施美育的最主要途径和内容，能够培养学生感受美、表现美、鉴赏美、创造美的能力，引领学生树立正确的审美观、文明观、生态观、价值观，陶冶高尚的道德情操，培养深厚的民族情感，传承中华优秀传统文化，激发想象力和创新意识，促进学生的全面发展和健康成长，对于立德树人具有独特而重要的作用。自</w:t>
      </w:r>
      <w:r>
        <w:rPr>
          <w:rFonts w:ascii="宋体" w:hAnsi="宋体" w:hint="eastAsia"/>
          <w:kern w:val="0"/>
          <w:sz w:val="24"/>
          <w:szCs w:val="24"/>
        </w:rPr>
        <w:t>2017</w:t>
      </w:r>
      <w:r>
        <w:rPr>
          <w:rFonts w:ascii="宋体" w:hAnsi="宋体" w:hint="eastAsia"/>
          <w:kern w:val="0"/>
          <w:sz w:val="24"/>
          <w:szCs w:val="24"/>
        </w:rPr>
        <w:t>年以来，学院开展一系列教育教学工作，有效落实生态文明教育，</w:t>
      </w:r>
      <w:proofErr w:type="gramStart"/>
      <w:r>
        <w:rPr>
          <w:rFonts w:ascii="宋体" w:hAnsi="宋体" w:hint="eastAsia"/>
          <w:kern w:val="0"/>
          <w:sz w:val="24"/>
          <w:szCs w:val="24"/>
        </w:rPr>
        <w:t>现总结</w:t>
      </w:r>
      <w:proofErr w:type="gramEnd"/>
      <w:r>
        <w:rPr>
          <w:rFonts w:ascii="宋体" w:hAnsi="宋体" w:hint="eastAsia"/>
          <w:kern w:val="0"/>
          <w:sz w:val="24"/>
          <w:szCs w:val="24"/>
        </w:rPr>
        <w:t>如下。</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一、提高认识、凝聚共识、做好学院美育教育整体设</w:t>
      </w:r>
      <w:r>
        <w:rPr>
          <w:rFonts w:ascii="宋体" w:hAnsi="宋体" w:hint="eastAsia"/>
          <w:kern w:val="0"/>
          <w:sz w:val="24"/>
          <w:szCs w:val="24"/>
        </w:rPr>
        <w:t>计。</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学院领导十分重视美育教育和生态文明教育工作，领导班子充分认识到要落实“立德树人”的根本任务，就必须进一步强化美育和生态文明教育，提高学生的审美和人文素养。学院领导在人才培养目标上达成了充分的共识：学院应坚持技术技能教育与人文教育的相互融合，培养具有扎实技能的高素质技术技能人才，而美育和生态文明教育则是开展人文教育、提高学生人文素养的最有效途径。学院教务处、学生工作部、团委、后勤等多部门通力配合，在专业人才培养方案制定、课程建设、德育教育、社团和学生活动、校园文化环境建设、教师能力提升等多方面入手，开展</w:t>
      </w:r>
      <w:r>
        <w:rPr>
          <w:rFonts w:ascii="宋体" w:hAnsi="宋体" w:hint="eastAsia"/>
          <w:kern w:val="0"/>
          <w:sz w:val="24"/>
          <w:szCs w:val="24"/>
        </w:rPr>
        <w:t>工作，有力地促进了生态文明工作与学生工作的全面结合，充分发挥生态文明教育工作在育人方面的功能。学院通过加强教学管理和文艺社团、文艺活动管理，确保了艺术教育活动的有序开展，经过努力，目前，融课堂</w:t>
      </w:r>
      <w:r>
        <w:rPr>
          <w:rFonts w:ascii="宋体" w:hAnsi="宋体" w:hint="eastAsia"/>
          <w:kern w:val="0"/>
          <w:sz w:val="24"/>
          <w:szCs w:val="24"/>
        </w:rPr>
        <w:lastRenderedPageBreak/>
        <w:t>教学、课外活动和校园文化三位一体的艺术教育机制已基本形成。同时，根据我院学科特色成立了“彩塑大师工作室”，对民族文化艺术进行传承。多方并举，各部门协同配合，将美育和生态文明工作做实做细，在学生成长成才中发挥作用。</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二、加强课程体系建设，将生态文明课程纳入专业人才培养方案</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天津轻工职业技术学院下设四个二级学院，分别是：机械工程学院、电子信息与自动化学院、经济管理学院、艺术工程学院。根据教育部相关文件要求，学院加强课程体系建设，将艺术、生态文明类课程纳入专业人才培养方案。在学院所有专业的人才培养方案中增加相关课程，按照国家设置的方案和课程标准，开齐开足，并纳入学分管理。除了艺术工程学院的必修艺术课程，面向全院所有专业开设了艺术选修课供学生选择性学习。各二级学院也根据自身学科特点，在各专业群内开设了相关艺术类选修课程。</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全院公共课</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2017-2018</w:t>
      </w:r>
      <w:r>
        <w:rPr>
          <w:rFonts w:ascii="宋体" w:hAnsi="宋体" w:hint="eastAsia"/>
          <w:kern w:val="0"/>
          <w:sz w:val="24"/>
          <w:szCs w:val="24"/>
        </w:rPr>
        <w:t>学年，面向全体</w:t>
      </w:r>
      <w:r>
        <w:rPr>
          <w:rFonts w:ascii="宋体" w:hAnsi="宋体" w:hint="eastAsia"/>
          <w:kern w:val="0"/>
          <w:sz w:val="24"/>
          <w:szCs w:val="24"/>
        </w:rPr>
        <w:t>16</w:t>
      </w:r>
      <w:r>
        <w:rPr>
          <w:rFonts w:ascii="宋体" w:hAnsi="宋体" w:hint="eastAsia"/>
          <w:kern w:val="0"/>
          <w:sz w:val="24"/>
          <w:szCs w:val="24"/>
        </w:rPr>
        <w:t>、</w:t>
      </w:r>
      <w:r>
        <w:rPr>
          <w:rFonts w:ascii="宋体" w:hAnsi="宋体" w:hint="eastAsia"/>
          <w:kern w:val="0"/>
          <w:sz w:val="24"/>
          <w:szCs w:val="24"/>
        </w:rPr>
        <w:t>17</w:t>
      </w:r>
      <w:r>
        <w:rPr>
          <w:rFonts w:ascii="宋体" w:hAnsi="宋体" w:hint="eastAsia"/>
          <w:kern w:val="0"/>
          <w:sz w:val="24"/>
          <w:szCs w:val="24"/>
        </w:rPr>
        <w:t>级</w:t>
      </w:r>
      <w:r>
        <w:rPr>
          <w:rFonts w:ascii="宋体" w:hAnsi="宋体" w:hint="eastAsia"/>
          <w:kern w:val="0"/>
          <w:sz w:val="24"/>
          <w:szCs w:val="24"/>
        </w:rPr>
        <w:t>在校生开设“艺术鉴赏”课程，为必修课，</w:t>
      </w:r>
      <w:r>
        <w:rPr>
          <w:rFonts w:ascii="宋体" w:hAnsi="宋体" w:hint="eastAsia"/>
          <w:kern w:val="0"/>
          <w:sz w:val="24"/>
          <w:szCs w:val="24"/>
        </w:rPr>
        <w:t>16</w:t>
      </w:r>
      <w:r>
        <w:rPr>
          <w:rFonts w:ascii="宋体" w:hAnsi="宋体" w:hint="eastAsia"/>
          <w:kern w:val="0"/>
          <w:sz w:val="24"/>
          <w:szCs w:val="24"/>
        </w:rPr>
        <w:t>课时。通过对中国古代建筑、美术作品的赏析，培养学生艺术欣赏的能力，引导学生掌握欣赏艺术作品的规则，获得审美享受，提高学生理解艺术作品和艺术现象的能力，提高文化品位和审美素质，惠及学生</w:t>
      </w:r>
      <w:r>
        <w:rPr>
          <w:rFonts w:ascii="宋体" w:hAnsi="宋体" w:hint="eastAsia"/>
          <w:kern w:val="0"/>
          <w:sz w:val="24"/>
          <w:szCs w:val="24"/>
        </w:rPr>
        <w:t>5500</w:t>
      </w:r>
      <w:r>
        <w:rPr>
          <w:rFonts w:ascii="宋体" w:hAnsi="宋体" w:hint="eastAsia"/>
          <w:kern w:val="0"/>
          <w:sz w:val="24"/>
          <w:szCs w:val="24"/>
        </w:rPr>
        <w:t>余人。</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2018-2019</w:t>
      </w:r>
      <w:r>
        <w:rPr>
          <w:rFonts w:ascii="宋体" w:hAnsi="宋体" w:hint="eastAsia"/>
          <w:kern w:val="0"/>
          <w:sz w:val="24"/>
          <w:szCs w:val="24"/>
        </w:rPr>
        <w:t>学年，继续面向全体在校生开设“艺术鉴赏”课程，增设“安全与环保”课程，为必修课，</w:t>
      </w:r>
      <w:r>
        <w:rPr>
          <w:rFonts w:ascii="宋体" w:hAnsi="宋体" w:hint="eastAsia"/>
          <w:kern w:val="0"/>
          <w:sz w:val="24"/>
          <w:szCs w:val="24"/>
        </w:rPr>
        <w:t>36</w:t>
      </w:r>
      <w:r>
        <w:rPr>
          <w:rFonts w:ascii="宋体" w:hAnsi="宋体" w:hint="eastAsia"/>
          <w:kern w:val="0"/>
          <w:sz w:val="24"/>
          <w:szCs w:val="24"/>
        </w:rPr>
        <w:t>课时。通过学习建立生态文明观念，了解全人类所面临的环境挑战，学生要突破学科专业局限，从不同角度思考问题。养成生态文明品格，积极实现行为方式、生活方式和学术进路的“绿色”转</w:t>
      </w:r>
      <w:r>
        <w:rPr>
          <w:rFonts w:ascii="宋体" w:hAnsi="宋体" w:hint="eastAsia"/>
          <w:kern w:val="0"/>
          <w:sz w:val="24"/>
          <w:szCs w:val="24"/>
        </w:rPr>
        <w:t>向。同时，了解生产安全、生活安全等相关内容。</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2019-2020</w:t>
      </w:r>
      <w:r>
        <w:rPr>
          <w:rFonts w:ascii="宋体" w:hAnsi="宋体" w:hint="eastAsia"/>
          <w:kern w:val="0"/>
          <w:sz w:val="24"/>
          <w:szCs w:val="24"/>
        </w:rPr>
        <w:t>学年，面向全体学生开设“中国优秀传统文化”、“大学语文”、“劳动教育”课程，为限定选修课，共</w:t>
      </w:r>
      <w:r>
        <w:rPr>
          <w:rFonts w:ascii="宋体" w:hAnsi="宋体" w:hint="eastAsia"/>
          <w:kern w:val="0"/>
          <w:sz w:val="24"/>
          <w:szCs w:val="24"/>
        </w:rPr>
        <w:t>78</w:t>
      </w:r>
      <w:r>
        <w:rPr>
          <w:rFonts w:ascii="宋体" w:hAnsi="宋体" w:hint="eastAsia"/>
          <w:kern w:val="0"/>
          <w:sz w:val="24"/>
          <w:szCs w:val="24"/>
        </w:rPr>
        <w:t>课时，</w:t>
      </w:r>
      <w:r>
        <w:rPr>
          <w:rFonts w:ascii="宋体" w:hAnsi="宋体" w:hint="eastAsia"/>
          <w:kern w:val="0"/>
          <w:sz w:val="24"/>
          <w:szCs w:val="24"/>
        </w:rPr>
        <w:t>5</w:t>
      </w:r>
      <w:r>
        <w:rPr>
          <w:rFonts w:ascii="宋体" w:hAnsi="宋体" w:hint="eastAsia"/>
          <w:kern w:val="0"/>
          <w:sz w:val="24"/>
          <w:szCs w:val="24"/>
        </w:rPr>
        <w:t>学分。通过学习，多层次、多角度展示了儒道释文化，兵法、文学、音乐、绘画、书法等中国传统文化的主要内容和特色，最后归结到世界格局中的中国文化和新世纪中国文化的展望，极大拓展文化素质教育的学科领域，发挥整体效应，形成了浓厚的人文氛围。同时，结合专业特点，增强职业荣誉感，提高职业劳动技能水平，培育积极向上的劳动精神和认真负责的劳动态度。</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非艺术</w:t>
      </w:r>
      <w:r>
        <w:rPr>
          <w:rFonts w:ascii="宋体" w:hAnsi="宋体" w:hint="eastAsia"/>
          <w:kern w:val="0"/>
          <w:sz w:val="24"/>
          <w:szCs w:val="24"/>
        </w:rPr>
        <w:t>类专业</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开设“诗词欣赏”、“口才艺术与社交礼仪”、“中华民族精神”、“多媒体技术”、“孙子兵法与现代管理”等相关课程。通过课程的学习，使学生树立正确的审美观念，培养高雅的审美品位，提高人文素养。通过了解、吸纳中外优秀艺术成果，提高感受美、表现美、鉴赏美、创造美的能力，培养学生的创新精神，促进德智体美全面和谐发展。</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lastRenderedPageBreak/>
        <w:t>经济管理学院在管理类专业中开设《商务礼仪》课程，电子信息与自动化学院开设了《多媒体技术》课程，课程的开设让学生在学习当中接受艺术的熏陶，为艺术人生的培养提供了良好的条件。</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艺术类专业</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在艺术类</w:t>
      </w:r>
      <w:r>
        <w:rPr>
          <w:rFonts w:ascii="宋体" w:hAnsi="宋体" w:hint="eastAsia"/>
          <w:kern w:val="0"/>
          <w:sz w:val="24"/>
          <w:szCs w:val="24"/>
        </w:rPr>
        <w:t>专业的选修课中开设“影视赏析”、“广告创意鉴赏”、“摄影技术”、“篆刻”、“装饰画”、“陶艺制作”、“印染制作”、“古诗文选读”、“文化创意”等课程，美育类课程修满</w:t>
      </w:r>
      <w:r>
        <w:rPr>
          <w:rFonts w:ascii="宋体" w:hAnsi="宋体" w:hint="eastAsia"/>
          <w:kern w:val="0"/>
          <w:sz w:val="24"/>
          <w:szCs w:val="24"/>
        </w:rPr>
        <w:t>4</w:t>
      </w:r>
      <w:r>
        <w:rPr>
          <w:rFonts w:ascii="宋体" w:hAnsi="宋体" w:hint="eastAsia"/>
          <w:kern w:val="0"/>
          <w:sz w:val="24"/>
          <w:szCs w:val="24"/>
        </w:rPr>
        <w:t>学分方可毕业。</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2018</w:t>
      </w:r>
      <w:r>
        <w:rPr>
          <w:rFonts w:ascii="宋体" w:hAnsi="宋体" w:hint="eastAsia"/>
          <w:kern w:val="0"/>
          <w:sz w:val="24"/>
          <w:szCs w:val="24"/>
        </w:rPr>
        <w:t>年，我院成立“博艺大师工作室”，特聘天津工艺美术大师、高级工艺美术师、天津市工艺美术行业协会理事、全国民间文艺家会员、天津</w:t>
      </w:r>
      <w:proofErr w:type="gramStart"/>
      <w:r>
        <w:rPr>
          <w:rFonts w:ascii="宋体" w:hAnsi="宋体" w:hint="eastAsia"/>
          <w:kern w:val="0"/>
          <w:sz w:val="24"/>
          <w:szCs w:val="24"/>
        </w:rPr>
        <w:t>津</w:t>
      </w:r>
      <w:proofErr w:type="gramEnd"/>
      <w:r>
        <w:rPr>
          <w:rFonts w:ascii="宋体" w:hAnsi="宋体" w:hint="eastAsia"/>
          <w:kern w:val="0"/>
          <w:sz w:val="24"/>
          <w:szCs w:val="24"/>
        </w:rPr>
        <w:t>艺科美艺术品技术开发有限公司艺术总监郭刚大师为客座教授。郭刚大师从事雕塑行业近</w:t>
      </w:r>
      <w:r>
        <w:rPr>
          <w:rFonts w:ascii="宋体" w:hAnsi="宋体" w:hint="eastAsia"/>
          <w:kern w:val="0"/>
          <w:sz w:val="24"/>
          <w:szCs w:val="24"/>
        </w:rPr>
        <w:t>30</w:t>
      </w:r>
      <w:r>
        <w:rPr>
          <w:rFonts w:ascii="宋体" w:hAnsi="宋体" w:hint="eastAsia"/>
          <w:kern w:val="0"/>
          <w:sz w:val="24"/>
          <w:szCs w:val="24"/>
        </w:rPr>
        <w:t>年，发明的“改性玻璃纤维雕塑材料”为世界首创。</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依托学生专业社团，工作室定期开展实操训练，开发创新产品，开展技术交流</w:t>
      </w:r>
      <w:r>
        <w:rPr>
          <w:rFonts w:ascii="宋体" w:hAnsi="宋体" w:hint="eastAsia"/>
          <w:kern w:val="0"/>
          <w:sz w:val="24"/>
          <w:szCs w:val="24"/>
        </w:rPr>
        <w:t>和研讨，为技术研修、创新、教学改革等提供交流平台，不仅传播了传统工艺的制作工艺，也培养了学生运用创新思维进行艺术品设计的能力，秉承工匠精神，实现了职业教育与非</w:t>
      </w:r>
      <w:proofErr w:type="gramStart"/>
      <w:r>
        <w:rPr>
          <w:rFonts w:ascii="宋体" w:hAnsi="宋体" w:hint="eastAsia"/>
          <w:kern w:val="0"/>
          <w:sz w:val="24"/>
          <w:szCs w:val="24"/>
        </w:rPr>
        <w:t>遗项目</w:t>
      </w:r>
      <w:proofErr w:type="gramEnd"/>
      <w:r>
        <w:rPr>
          <w:rFonts w:ascii="宋体" w:hAnsi="宋体" w:hint="eastAsia"/>
          <w:kern w:val="0"/>
          <w:sz w:val="24"/>
          <w:szCs w:val="24"/>
        </w:rPr>
        <w:t>双向互动。</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截至目前，大师工作室共开展了大型讲座</w:t>
      </w:r>
      <w:r>
        <w:rPr>
          <w:rFonts w:ascii="宋体" w:hAnsi="宋体" w:hint="eastAsia"/>
          <w:kern w:val="0"/>
          <w:sz w:val="24"/>
          <w:szCs w:val="24"/>
        </w:rPr>
        <w:t>8</w:t>
      </w:r>
      <w:r>
        <w:rPr>
          <w:rFonts w:ascii="宋体" w:hAnsi="宋体" w:hint="eastAsia"/>
          <w:kern w:val="0"/>
          <w:sz w:val="24"/>
          <w:szCs w:val="24"/>
        </w:rPr>
        <w:t>场，技艺传承创新活动</w:t>
      </w:r>
      <w:r>
        <w:rPr>
          <w:rFonts w:ascii="宋体" w:hAnsi="宋体" w:hint="eastAsia"/>
          <w:kern w:val="0"/>
          <w:sz w:val="24"/>
          <w:szCs w:val="24"/>
        </w:rPr>
        <w:t>30</w:t>
      </w:r>
      <w:r>
        <w:rPr>
          <w:rFonts w:ascii="宋体" w:hAnsi="宋体" w:hint="eastAsia"/>
          <w:kern w:val="0"/>
          <w:sz w:val="24"/>
          <w:szCs w:val="24"/>
        </w:rPr>
        <w:t>余次，培养学生共计</w:t>
      </w:r>
      <w:r>
        <w:rPr>
          <w:rFonts w:ascii="宋体" w:hAnsi="宋体" w:hint="eastAsia"/>
          <w:kern w:val="0"/>
          <w:sz w:val="24"/>
          <w:szCs w:val="24"/>
        </w:rPr>
        <w:t>115</w:t>
      </w:r>
      <w:r>
        <w:rPr>
          <w:rFonts w:ascii="宋体" w:hAnsi="宋体" w:hint="eastAsia"/>
          <w:kern w:val="0"/>
          <w:sz w:val="24"/>
          <w:szCs w:val="24"/>
        </w:rPr>
        <w:t>人，还为</w:t>
      </w:r>
      <w:r>
        <w:rPr>
          <w:rFonts w:ascii="宋体" w:hAnsi="宋体" w:hint="eastAsia"/>
          <w:kern w:val="0"/>
          <w:sz w:val="24"/>
          <w:szCs w:val="24"/>
        </w:rPr>
        <w:t>80</w:t>
      </w:r>
      <w:r>
        <w:rPr>
          <w:rFonts w:ascii="宋体" w:hAnsi="宋体" w:hint="eastAsia"/>
          <w:kern w:val="0"/>
          <w:sz w:val="24"/>
          <w:szCs w:val="24"/>
        </w:rPr>
        <w:t>余人次的外国友人进行了培训。为弘扬中华民族优秀文化，让更多年轻人了解、喜欢祖国的非物质文化遗产，为天津地方特色的传承培养后继之人做出了贡献。</w:t>
      </w:r>
    </w:p>
    <w:p w:rsidR="00174108" w:rsidRDefault="00AD2503">
      <w:pPr>
        <w:spacing w:line="400" w:lineRule="exact"/>
        <w:ind w:firstLineChars="200" w:firstLine="560"/>
        <w:rPr>
          <w:rFonts w:ascii="宋体" w:hAnsi="宋体"/>
          <w:kern w:val="0"/>
          <w:sz w:val="24"/>
          <w:szCs w:val="24"/>
        </w:rPr>
      </w:pPr>
      <w:r>
        <w:rPr>
          <w:rFonts w:ascii="仿宋_GB2312" w:eastAsia="仿宋_GB2312"/>
          <w:noProof/>
          <w:sz w:val="28"/>
          <w:szCs w:val="28"/>
        </w:rPr>
        <w:drawing>
          <wp:anchor distT="0" distB="0" distL="114300" distR="114300" simplePos="0" relativeHeight="251658240" behindDoc="0" locked="0" layoutInCell="1" allowOverlap="1">
            <wp:simplePos x="0" y="0"/>
            <wp:positionH relativeFrom="column">
              <wp:posOffset>3385820</wp:posOffset>
            </wp:positionH>
            <wp:positionV relativeFrom="paragraph">
              <wp:posOffset>109855</wp:posOffset>
            </wp:positionV>
            <wp:extent cx="1602740" cy="2133600"/>
            <wp:effectExtent l="0" t="0" r="16510" b="0"/>
            <wp:wrapNone/>
            <wp:docPr id="2" name="图片 1" descr="c956dd4769832e9b9a710c9b57c95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956dd4769832e9b9a710c9b57c955e"/>
                    <pic:cNvPicPr>
                      <a:picLocks noChangeAspect="1"/>
                    </pic:cNvPicPr>
                  </pic:nvPicPr>
                  <pic:blipFill>
                    <a:blip r:embed="rId9"/>
                    <a:stretch>
                      <a:fillRect/>
                    </a:stretch>
                  </pic:blipFill>
                  <pic:spPr>
                    <a:xfrm>
                      <a:off x="0" y="0"/>
                      <a:ext cx="1602740" cy="2133600"/>
                    </a:xfrm>
                    <a:prstGeom prst="rect">
                      <a:avLst/>
                    </a:prstGeom>
                    <a:noFill/>
                    <a:ln>
                      <a:noFill/>
                    </a:ln>
                  </pic:spPr>
                </pic:pic>
              </a:graphicData>
            </a:graphic>
          </wp:anchor>
        </w:drawing>
      </w:r>
      <w:r>
        <w:rPr>
          <w:rFonts w:ascii="仿宋_GB2312" w:eastAsia="仿宋_GB2312"/>
          <w:noProof/>
          <w:sz w:val="28"/>
          <w:szCs w:val="28"/>
        </w:rPr>
        <w:drawing>
          <wp:anchor distT="0" distB="0" distL="114300" distR="114300" simplePos="0" relativeHeight="251659264" behindDoc="0" locked="0" layoutInCell="1" allowOverlap="1">
            <wp:simplePos x="0" y="0"/>
            <wp:positionH relativeFrom="column">
              <wp:posOffset>31115</wp:posOffset>
            </wp:positionH>
            <wp:positionV relativeFrom="paragraph">
              <wp:posOffset>109855</wp:posOffset>
            </wp:positionV>
            <wp:extent cx="3152775" cy="2133600"/>
            <wp:effectExtent l="0" t="0" r="9525" b="0"/>
            <wp:wrapNone/>
            <wp:docPr id="1" name="图片 3" descr="IMG_20180417_15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0180417_155440"/>
                    <pic:cNvPicPr>
                      <a:picLocks noChangeAspect="1"/>
                    </pic:cNvPicPr>
                  </pic:nvPicPr>
                  <pic:blipFill>
                    <a:blip r:embed="rId10"/>
                    <a:srcRect b="9824"/>
                    <a:stretch>
                      <a:fillRect/>
                    </a:stretch>
                  </pic:blipFill>
                  <pic:spPr>
                    <a:xfrm>
                      <a:off x="0" y="0"/>
                      <a:ext cx="3152775" cy="2133600"/>
                    </a:xfrm>
                    <a:prstGeom prst="rect">
                      <a:avLst/>
                    </a:prstGeom>
                    <a:noFill/>
                    <a:ln>
                      <a:noFill/>
                    </a:ln>
                  </pic:spPr>
                </pic:pic>
              </a:graphicData>
            </a:graphic>
          </wp:anchor>
        </w:drawing>
      </w:r>
      <w:r>
        <w:rPr>
          <w:rFonts w:ascii="宋体" w:hAnsi="宋体" w:hint="eastAsia"/>
          <w:kern w:val="0"/>
          <w:sz w:val="24"/>
          <w:szCs w:val="24"/>
        </w:rPr>
        <w:t xml:space="preserve">              </w:t>
      </w:r>
    </w:p>
    <w:p w:rsidR="00174108" w:rsidRDefault="00174108">
      <w:pPr>
        <w:spacing w:line="400" w:lineRule="exact"/>
        <w:ind w:firstLineChars="200" w:firstLine="480"/>
        <w:rPr>
          <w:rFonts w:ascii="宋体" w:hAnsi="宋体"/>
          <w:kern w:val="0"/>
          <w:sz w:val="24"/>
          <w:szCs w:val="24"/>
        </w:rPr>
      </w:pPr>
    </w:p>
    <w:p w:rsidR="00174108" w:rsidRDefault="00174108">
      <w:pPr>
        <w:spacing w:line="400" w:lineRule="exact"/>
        <w:ind w:firstLineChars="200" w:firstLine="480"/>
        <w:rPr>
          <w:rFonts w:ascii="宋体" w:hAnsi="宋体"/>
          <w:kern w:val="0"/>
          <w:sz w:val="24"/>
          <w:szCs w:val="24"/>
        </w:rPr>
      </w:pPr>
    </w:p>
    <w:p w:rsidR="00174108" w:rsidRDefault="00174108">
      <w:pPr>
        <w:spacing w:line="400" w:lineRule="exact"/>
        <w:ind w:firstLineChars="200" w:firstLine="480"/>
        <w:rPr>
          <w:rFonts w:ascii="宋体" w:hAnsi="宋体"/>
          <w:kern w:val="0"/>
          <w:sz w:val="24"/>
          <w:szCs w:val="24"/>
        </w:rPr>
      </w:pPr>
    </w:p>
    <w:p w:rsidR="00174108" w:rsidRDefault="00174108">
      <w:pPr>
        <w:spacing w:line="400" w:lineRule="exact"/>
        <w:ind w:firstLineChars="200" w:firstLine="480"/>
        <w:rPr>
          <w:rFonts w:ascii="宋体" w:hAnsi="宋体"/>
          <w:kern w:val="0"/>
          <w:sz w:val="24"/>
          <w:szCs w:val="24"/>
        </w:rPr>
      </w:pPr>
    </w:p>
    <w:p w:rsidR="00174108" w:rsidRDefault="00174108">
      <w:pPr>
        <w:spacing w:line="400" w:lineRule="exact"/>
        <w:ind w:firstLineChars="200" w:firstLine="480"/>
        <w:rPr>
          <w:rFonts w:ascii="宋体" w:hAnsi="宋体"/>
          <w:kern w:val="0"/>
          <w:sz w:val="24"/>
          <w:szCs w:val="24"/>
        </w:rPr>
      </w:pPr>
    </w:p>
    <w:p w:rsidR="00174108" w:rsidRDefault="00174108">
      <w:pPr>
        <w:spacing w:line="400" w:lineRule="exact"/>
        <w:ind w:firstLineChars="200" w:firstLine="480"/>
        <w:rPr>
          <w:rFonts w:ascii="宋体" w:hAnsi="宋体"/>
          <w:kern w:val="0"/>
          <w:sz w:val="24"/>
          <w:szCs w:val="24"/>
        </w:rPr>
      </w:pPr>
    </w:p>
    <w:p w:rsidR="00174108" w:rsidRDefault="00174108">
      <w:pPr>
        <w:spacing w:line="400" w:lineRule="exact"/>
        <w:ind w:firstLineChars="200" w:firstLine="480"/>
        <w:rPr>
          <w:rFonts w:ascii="宋体" w:hAnsi="宋体"/>
          <w:kern w:val="0"/>
          <w:sz w:val="24"/>
          <w:szCs w:val="24"/>
        </w:rPr>
      </w:pPr>
    </w:p>
    <w:p w:rsidR="00174108" w:rsidRDefault="00174108">
      <w:pPr>
        <w:spacing w:line="400" w:lineRule="exact"/>
        <w:ind w:firstLineChars="400" w:firstLine="720"/>
        <w:rPr>
          <w:rFonts w:ascii="宋体" w:hAnsi="宋体"/>
          <w:kern w:val="0"/>
          <w:sz w:val="18"/>
          <w:szCs w:val="18"/>
        </w:rPr>
      </w:pPr>
    </w:p>
    <w:p w:rsidR="00174108" w:rsidRDefault="00AD2503">
      <w:pPr>
        <w:spacing w:line="400" w:lineRule="exact"/>
        <w:ind w:firstLineChars="400" w:firstLine="720"/>
        <w:rPr>
          <w:rFonts w:ascii="宋体" w:hAnsi="宋体"/>
          <w:kern w:val="0"/>
          <w:sz w:val="18"/>
          <w:szCs w:val="18"/>
        </w:rPr>
      </w:pPr>
      <w:r>
        <w:rPr>
          <w:rFonts w:ascii="宋体" w:hAnsi="宋体" w:hint="eastAsia"/>
          <w:kern w:val="0"/>
          <w:sz w:val="18"/>
          <w:szCs w:val="18"/>
        </w:rPr>
        <w:t>傅长圣大师为新疆学员讲解彩塑工艺</w:t>
      </w:r>
      <w:r>
        <w:rPr>
          <w:rFonts w:ascii="宋体" w:hAnsi="宋体" w:hint="eastAsia"/>
          <w:kern w:val="0"/>
          <w:sz w:val="18"/>
          <w:szCs w:val="18"/>
        </w:rPr>
        <w:t xml:space="preserve">           </w:t>
      </w:r>
      <w:r>
        <w:rPr>
          <w:rFonts w:ascii="宋体" w:hAnsi="宋体" w:hint="eastAsia"/>
          <w:kern w:val="0"/>
          <w:sz w:val="18"/>
          <w:szCs w:val="18"/>
        </w:rPr>
        <w:t xml:space="preserve">   </w:t>
      </w:r>
      <w:r>
        <w:rPr>
          <w:rFonts w:ascii="宋体" w:hAnsi="宋体" w:hint="eastAsia"/>
          <w:kern w:val="0"/>
          <w:sz w:val="18"/>
          <w:szCs w:val="18"/>
        </w:rPr>
        <w:t xml:space="preserve">   </w:t>
      </w:r>
      <w:r>
        <w:rPr>
          <w:rFonts w:ascii="宋体" w:hAnsi="宋体" w:hint="eastAsia"/>
          <w:kern w:val="0"/>
          <w:sz w:val="18"/>
          <w:szCs w:val="18"/>
        </w:rPr>
        <w:t>彩塑大师“泥人张工作室”学生制作作品</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三、开展丰富多彩的主题教育活动和社团活动，将生态文明工作渗透到校园生活各方面</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课外活动是生态文明教育的重要组成部分，学校采取多种形式，开展丰富多彩的课外活动，活跃校园文化氛围，提高学生的艺术素养。为学生开辟第二课堂，以“大学生文明修身”活动和“四节五月”活动为核心，以“学工匠、传文化、</w:t>
      </w:r>
      <w:r>
        <w:rPr>
          <w:rFonts w:ascii="宋体" w:hAnsi="宋体" w:hint="eastAsia"/>
          <w:kern w:val="0"/>
          <w:sz w:val="24"/>
          <w:szCs w:val="24"/>
        </w:rPr>
        <w:lastRenderedPageBreak/>
        <w:t>培兴趣”为主题，学工部、团委、学生公寓管理中心等多部门开展了丰富多彩的主题教育活动和迎新生社团展示活动，共开展了</w:t>
      </w:r>
      <w:r>
        <w:rPr>
          <w:rFonts w:ascii="宋体" w:hAnsi="宋体" w:hint="eastAsia"/>
          <w:kern w:val="0"/>
          <w:sz w:val="24"/>
          <w:szCs w:val="24"/>
        </w:rPr>
        <w:t>23</w:t>
      </w:r>
      <w:r>
        <w:rPr>
          <w:rFonts w:ascii="宋体" w:hAnsi="宋体" w:hint="eastAsia"/>
          <w:kern w:val="0"/>
          <w:sz w:val="24"/>
          <w:szCs w:val="24"/>
        </w:rPr>
        <w:t>个子活</w:t>
      </w:r>
      <w:r>
        <w:rPr>
          <w:rFonts w:ascii="宋体" w:hAnsi="宋体" w:hint="eastAsia"/>
          <w:kern w:val="0"/>
          <w:sz w:val="24"/>
          <w:szCs w:val="24"/>
        </w:rPr>
        <w:t>动，约有</w:t>
      </w:r>
      <w:r>
        <w:rPr>
          <w:rFonts w:ascii="宋体" w:hAnsi="宋体" w:hint="eastAsia"/>
          <w:kern w:val="0"/>
          <w:sz w:val="24"/>
          <w:szCs w:val="24"/>
        </w:rPr>
        <w:t>4300</w:t>
      </w:r>
      <w:r>
        <w:rPr>
          <w:rFonts w:ascii="宋体" w:hAnsi="宋体" w:hint="eastAsia"/>
          <w:kern w:val="0"/>
          <w:sz w:val="24"/>
          <w:szCs w:val="24"/>
        </w:rPr>
        <w:t>名学生参与其中。</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．培养工匠精神之心，筑学院工匠之家</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“工匠精神”的培养是学院育人工作中的重点，在社团展示共有</w:t>
      </w:r>
      <w:r>
        <w:rPr>
          <w:rFonts w:ascii="宋体" w:hAnsi="宋体" w:hint="eastAsia"/>
          <w:kern w:val="0"/>
          <w:sz w:val="24"/>
          <w:szCs w:val="24"/>
        </w:rPr>
        <w:t>7</w:t>
      </w:r>
      <w:r>
        <w:rPr>
          <w:rFonts w:ascii="宋体" w:hAnsi="宋体" w:hint="eastAsia"/>
          <w:kern w:val="0"/>
          <w:sz w:val="24"/>
          <w:szCs w:val="24"/>
        </w:rPr>
        <w:t>个具有代表性的专业社团参与展示，无论是模具社团毫厘不差的模具还是智能楼宇社团匠心独具的电路版，或是信用管理社团一笔笔严谨的信用记录除了展出了学生们良好的专业素养，更是致敬了“工匠精神”。</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．文化点亮心灯，文明美好校园</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学院共有</w:t>
      </w:r>
      <w:r>
        <w:rPr>
          <w:rFonts w:ascii="宋体" w:hAnsi="宋体" w:hint="eastAsia"/>
          <w:kern w:val="0"/>
          <w:sz w:val="24"/>
          <w:szCs w:val="24"/>
        </w:rPr>
        <w:t>8</w:t>
      </w:r>
      <w:r>
        <w:rPr>
          <w:rFonts w:ascii="宋体" w:hAnsi="宋体" w:hint="eastAsia"/>
          <w:kern w:val="0"/>
          <w:sz w:val="24"/>
          <w:szCs w:val="24"/>
        </w:rPr>
        <w:t>个优秀的传统文化社团参与展示。社团以传播传统文化为核心，在展示中开展了各类特色的展示活动，引发了学生对传统文化的兴趣。思想的引领需要文化的烘托，传统文化</w:t>
      </w:r>
      <w:r>
        <w:rPr>
          <w:rFonts w:ascii="宋体" w:hAnsi="宋体" w:hint="eastAsia"/>
          <w:kern w:val="0"/>
          <w:sz w:val="24"/>
          <w:szCs w:val="24"/>
        </w:rPr>
        <w:t>社团的展示丰富学院的校园文化，拉近了学生与传统文化的距离。</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w:t>
      </w:r>
      <w:proofErr w:type="gramStart"/>
      <w:r>
        <w:rPr>
          <w:rFonts w:ascii="宋体" w:hAnsi="宋体" w:hint="eastAsia"/>
          <w:kern w:val="0"/>
          <w:sz w:val="24"/>
          <w:szCs w:val="24"/>
        </w:rPr>
        <w:t>培</w:t>
      </w:r>
      <w:proofErr w:type="gramEnd"/>
      <w:r>
        <w:rPr>
          <w:rFonts w:ascii="宋体" w:hAnsi="宋体" w:hint="eastAsia"/>
          <w:kern w:val="0"/>
          <w:sz w:val="24"/>
          <w:szCs w:val="24"/>
        </w:rPr>
        <w:t>兴趣，筑梦想，丰富校园文化</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在大学生思想政治教育中引入美育内容，注重引导大学生将个人兴趣爱好和梦想与国家未来、民族的梦想相结合。学院</w:t>
      </w:r>
      <w:r>
        <w:rPr>
          <w:rFonts w:ascii="宋体" w:hAnsi="宋体" w:hint="eastAsia"/>
          <w:kern w:val="0"/>
          <w:sz w:val="24"/>
          <w:szCs w:val="24"/>
        </w:rPr>
        <w:t>12</w:t>
      </w:r>
      <w:r>
        <w:rPr>
          <w:rFonts w:ascii="宋体" w:hAnsi="宋体" w:hint="eastAsia"/>
          <w:kern w:val="0"/>
          <w:sz w:val="24"/>
          <w:szCs w:val="24"/>
        </w:rPr>
        <w:t>个兴趣类社团在活动中表演了自己的特长，展示了学院丰富的课余生活。</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4</w:t>
      </w:r>
      <w:r>
        <w:rPr>
          <w:rFonts w:ascii="宋体" w:hAnsi="宋体" w:hint="eastAsia"/>
          <w:kern w:val="0"/>
          <w:sz w:val="24"/>
          <w:szCs w:val="24"/>
        </w:rPr>
        <w:t>．线下展，线上评，互联网</w:t>
      </w:r>
      <w:r>
        <w:rPr>
          <w:rFonts w:ascii="宋体" w:hAnsi="宋体" w:hint="eastAsia"/>
          <w:kern w:val="0"/>
          <w:sz w:val="24"/>
          <w:szCs w:val="24"/>
        </w:rPr>
        <w:t>+</w:t>
      </w:r>
      <w:r>
        <w:rPr>
          <w:rFonts w:ascii="宋体" w:hAnsi="宋体" w:hint="eastAsia"/>
          <w:kern w:val="0"/>
          <w:sz w:val="24"/>
          <w:szCs w:val="24"/>
        </w:rPr>
        <w:t>助力学生活动</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各种活动全程利用互联网进行活动宣传、发布、报名等工作。同时在活动结束后，通过院团委公众号投票方式选出最佳社团。思想的引领，文化的传承通过网络贯穿始终。</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5.</w:t>
      </w:r>
      <w:r>
        <w:rPr>
          <w:rFonts w:ascii="宋体" w:hAnsi="宋体" w:hint="eastAsia"/>
          <w:kern w:val="0"/>
          <w:sz w:val="24"/>
          <w:szCs w:val="24"/>
        </w:rPr>
        <w:t>依托“星空话剧社”、“新空气广播站”等载体，积</w:t>
      </w:r>
      <w:r>
        <w:rPr>
          <w:rFonts w:ascii="宋体" w:hAnsi="宋体" w:hint="eastAsia"/>
          <w:kern w:val="0"/>
          <w:sz w:val="24"/>
          <w:szCs w:val="24"/>
        </w:rPr>
        <w:t>极开展生态文明教育。</w:t>
      </w:r>
    </w:p>
    <w:p w:rsidR="00174108" w:rsidRDefault="00AD2503">
      <w:pPr>
        <w:spacing w:line="400" w:lineRule="exact"/>
        <w:ind w:firstLineChars="200" w:firstLine="480"/>
        <w:rPr>
          <w:rFonts w:ascii="宋体" w:hAnsi="宋体"/>
          <w:kern w:val="0"/>
          <w:sz w:val="24"/>
          <w:szCs w:val="24"/>
        </w:rPr>
      </w:pPr>
      <w:r>
        <w:rPr>
          <w:rFonts w:ascii="宋体" w:hAnsi="宋体" w:hint="eastAsia"/>
          <w:kern w:val="0"/>
          <w:sz w:val="24"/>
          <w:szCs w:val="24"/>
        </w:rPr>
        <w:t>学院定期或不定期举办读诗会、</w:t>
      </w:r>
      <w:proofErr w:type="gramStart"/>
      <w:r>
        <w:rPr>
          <w:rFonts w:ascii="宋体" w:hAnsi="宋体" w:hint="eastAsia"/>
          <w:kern w:val="0"/>
          <w:sz w:val="24"/>
          <w:szCs w:val="24"/>
        </w:rPr>
        <w:t>社课日</w:t>
      </w:r>
      <w:proofErr w:type="gramEnd"/>
      <w:r>
        <w:rPr>
          <w:rFonts w:ascii="宋体" w:hAnsi="宋体" w:hint="eastAsia"/>
          <w:kern w:val="0"/>
          <w:sz w:val="24"/>
          <w:szCs w:val="24"/>
        </w:rPr>
        <w:t>活动、诗歌朗诵比赛、校园诗歌创作大赛等活动，邀请诗人或学者举办讲座，通过这些活动，不断培养有志向、有情怀、有追求的人才，以诗歌这种学生喜闻乐见的形式宣传生态文明，倡导新生活、保护大自然。</w:t>
      </w:r>
    </w:p>
    <w:p w:rsidR="00174108" w:rsidRDefault="00174108">
      <w:pPr>
        <w:spacing w:line="400" w:lineRule="exact"/>
        <w:ind w:firstLineChars="200" w:firstLine="480"/>
        <w:rPr>
          <w:rFonts w:ascii="宋体" w:hAnsi="宋体"/>
          <w:kern w:val="0"/>
          <w:sz w:val="24"/>
          <w:szCs w:val="24"/>
        </w:rPr>
      </w:pPr>
    </w:p>
    <w:sectPr w:rsidR="0017410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03" w:rsidRDefault="00AD2503" w:rsidP="00FA1C51">
      <w:r>
        <w:separator/>
      </w:r>
    </w:p>
  </w:endnote>
  <w:endnote w:type="continuationSeparator" w:id="0">
    <w:p w:rsidR="00AD2503" w:rsidRDefault="00AD2503" w:rsidP="00FA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03" w:rsidRDefault="00AD2503" w:rsidP="00FA1C51">
      <w:r>
        <w:separator/>
      </w:r>
    </w:p>
  </w:footnote>
  <w:footnote w:type="continuationSeparator" w:id="0">
    <w:p w:rsidR="00AD2503" w:rsidRDefault="00AD2503" w:rsidP="00FA1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FB967"/>
    <w:multiLevelType w:val="singleLevel"/>
    <w:tmpl w:val="D0AFB967"/>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11"/>
    <w:rsid w:val="00010688"/>
    <w:rsid w:val="0002151F"/>
    <w:rsid w:val="00021CEA"/>
    <w:rsid w:val="00033B6B"/>
    <w:rsid w:val="00067810"/>
    <w:rsid w:val="000713E9"/>
    <w:rsid w:val="000A746E"/>
    <w:rsid w:val="00101657"/>
    <w:rsid w:val="00106087"/>
    <w:rsid w:val="00172A27"/>
    <w:rsid w:val="00174108"/>
    <w:rsid w:val="0017743E"/>
    <w:rsid w:val="001944B8"/>
    <w:rsid w:val="001A46AD"/>
    <w:rsid w:val="00203D80"/>
    <w:rsid w:val="00210018"/>
    <w:rsid w:val="00222831"/>
    <w:rsid w:val="0026494F"/>
    <w:rsid w:val="00351490"/>
    <w:rsid w:val="003825F7"/>
    <w:rsid w:val="003D160B"/>
    <w:rsid w:val="00431A4A"/>
    <w:rsid w:val="00431CB7"/>
    <w:rsid w:val="00452E79"/>
    <w:rsid w:val="00470E9B"/>
    <w:rsid w:val="00491BE3"/>
    <w:rsid w:val="004A3C41"/>
    <w:rsid w:val="004E0C3B"/>
    <w:rsid w:val="005131AD"/>
    <w:rsid w:val="00560A6E"/>
    <w:rsid w:val="005832AD"/>
    <w:rsid w:val="005D594D"/>
    <w:rsid w:val="005F452C"/>
    <w:rsid w:val="00607B01"/>
    <w:rsid w:val="00610E9A"/>
    <w:rsid w:val="00622265"/>
    <w:rsid w:val="0067439C"/>
    <w:rsid w:val="006C0C8E"/>
    <w:rsid w:val="006E2C74"/>
    <w:rsid w:val="006E4DF3"/>
    <w:rsid w:val="00762B72"/>
    <w:rsid w:val="00770D5A"/>
    <w:rsid w:val="007A2F8B"/>
    <w:rsid w:val="007E132B"/>
    <w:rsid w:val="00815ADC"/>
    <w:rsid w:val="00822804"/>
    <w:rsid w:val="0083277E"/>
    <w:rsid w:val="00887010"/>
    <w:rsid w:val="00894809"/>
    <w:rsid w:val="00906327"/>
    <w:rsid w:val="00934E4E"/>
    <w:rsid w:val="0094255E"/>
    <w:rsid w:val="009547B7"/>
    <w:rsid w:val="009905CA"/>
    <w:rsid w:val="009B0B28"/>
    <w:rsid w:val="00A01266"/>
    <w:rsid w:val="00A04DD4"/>
    <w:rsid w:val="00A2089C"/>
    <w:rsid w:val="00A2661B"/>
    <w:rsid w:val="00A32111"/>
    <w:rsid w:val="00A322AC"/>
    <w:rsid w:val="00A374A9"/>
    <w:rsid w:val="00A4125E"/>
    <w:rsid w:val="00A42F4E"/>
    <w:rsid w:val="00A62879"/>
    <w:rsid w:val="00A852F9"/>
    <w:rsid w:val="00AD2503"/>
    <w:rsid w:val="00AD39C2"/>
    <w:rsid w:val="00B22484"/>
    <w:rsid w:val="00B645E2"/>
    <w:rsid w:val="00BD1CD5"/>
    <w:rsid w:val="00BF1C44"/>
    <w:rsid w:val="00BF4841"/>
    <w:rsid w:val="00C40880"/>
    <w:rsid w:val="00C84D6E"/>
    <w:rsid w:val="00C9164C"/>
    <w:rsid w:val="00C92C0D"/>
    <w:rsid w:val="00CD1C74"/>
    <w:rsid w:val="00CD3418"/>
    <w:rsid w:val="00D66386"/>
    <w:rsid w:val="00D702D1"/>
    <w:rsid w:val="00DB775A"/>
    <w:rsid w:val="00DF4342"/>
    <w:rsid w:val="00E00805"/>
    <w:rsid w:val="00E11B84"/>
    <w:rsid w:val="00E124E9"/>
    <w:rsid w:val="00E27467"/>
    <w:rsid w:val="00E929E3"/>
    <w:rsid w:val="00EB4D59"/>
    <w:rsid w:val="00EB5840"/>
    <w:rsid w:val="00EE4961"/>
    <w:rsid w:val="00F22AB3"/>
    <w:rsid w:val="00F33ECA"/>
    <w:rsid w:val="00F81822"/>
    <w:rsid w:val="00FA1C51"/>
    <w:rsid w:val="00FB0270"/>
    <w:rsid w:val="00FB4041"/>
    <w:rsid w:val="026343B3"/>
    <w:rsid w:val="03BD7FB7"/>
    <w:rsid w:val="052F5FB5"/>
    <w:rsid w:val="06DE1F95"/>
    <w:rsid w:val="0A9560DC"/>
    <w:rsid w:val="0EDD1A0C"/>
    <w:rsid w:val="290147EA"/>
    <w:rsid w:val="2D9A7A2F"/>
    <w:rsid w:val="3055178B"/>
    <w:rsid w:val="31FF65FD"/>
    <w:rsid w:val="382379CA"/>
    <w:rsid w:val="416811DC"/>
    <w:rsid w:val="42BF5AEF"/>
    <w:rsid w:val="44BC5833"/>
    <w:rsid w:val="4A6070AE"/>
    <w:rsid w:val="4C806B66"/>
    <w:rsid w:val="50255F5B"/>
    <w:rsid w:val="5A356BA8"/>
    <w:rsid w:val="5BE876FB"/>
    <w:rsid w:val="5CEA4AA1"/>
    <w:rsid w:val="61EB3E4F"/>
    <w:rsid w:val="62ED7E65"/>
    <w:rsid w:val="6445391A"/>
    <w:rsid w:val="66171246"/>
    <w:rsid w:val="66F95109"/>
    <w:rsid w:val="6B4D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qFormat/>
    <w:rPr>
      <w:rFonts w:ascii="宋体" w:hAnsi="Courier New" w:cs="Courier New"/>
      <w:szCs w:val="21"/>
    </w:rPr>
  </w:style>
  <w:style w:type="paragraph" w:styleId="a5">
    <w:name w:val="Balloon Text"/>
    <w:basedOn w:val="a"/>
    <w:semiHidden/>
    <w:qFormat/>
    <w:rPr>
      <w:sz w:val="18"/>
      <w:szCs w:val="18"/>
    </w:rPr>
  </w:style>
  <w:style w:type="paragraph" w:styleId="a6">
    <w:name w:val="footer"/>
    <w:basedOn w:val="a"/>
    <w:link w:val="Char"/>
    <w:unhideWhenUsed/>
    <w:qFormat/>
    <w:pPr>
      <w:tabs>
        <w:tab w:val="center" w:pos="4153"/>
        <w:tab w:val="right" w:pos="8306"/>
      </w:tabs>
      <w:snapToGrid w:val="0"/>
      <w:jc w:val="left"/>
    </w:pPr>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ascii="Calibri" w:hAnsi="Calibri"/>
      <w:kern w:val="0"/>
      <w:sz w:val="24"/>
    </w:rPr>
  </w:style>
  <w:style w:type="paragraph" w:styleId="a9">
    <w:name w:val="annotation subject"/>
    <w:basedOn w:val="a3"/>
    <w:next w:val="a3"/>
    <w:semiHidden/>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qFormat/>
    <w:rPr>
      <w:sz w:val="21"/>
      <w:szCs w:val="21"/>
    </w:rPr>
  </w:style>
  <w:style w:type="paragraph" w:customStyle="1" w:styleId="ac">
    <w:name w:val="小节标题"/>
    <w:basedOn w:val="a"/>
    <w:next w:val="a"/>
    <w:qFormat/>
    <w:pPr>
      <w:widowControl/>
      <w:spacing w:before="175" w:after="102" w:line="566" w:lineRule="atLeast"/>
      <w:textAlignment w:val="baseline"/>
    </w:pPr>
    <w:rPr>
      <w:rFonts w:eastAsia="黑体"/>
      <w:color w:val="000000"/>
      <w:kern w:val="0"/>
      <w:szCs w:val="21"/>
      <w:u w:color="000000"/>
    </w:r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paragraph" w:styleId="ad">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qFormat/>
    <w:rPr>
      <w:rFonts w:ascii="宋体" w:hAnsi="Courier New" w:cs="Courier New"/>
      <w:szCs w:val="21"/>
    </w:rPr>
  </w:style>
  <w:style w:type="paragraph" w:styleId="a5">
    <w:name w:val="Balloon Text"/>
    <w:basedOn w:val="a"/>
    <w:semiHidden/>
    <w:qFormat/>
    <w:rPr>
      <w:sz w:val="18"/>
      <w:szCs w:val="18"/>
    </w:rPr>
  </w:style>
  <w:style w:type="paragraph" w:styleId="a6">
    <w:name w:val="footer"/>
    <w:basedOn w:val="a"/>
    <w:link w:val="Char"/>
    <w:unhideWhenUsed/>
    <w:qFormat/>
    <w:pPr>
      <w:tabs>
        <w:tab w:val="center" w:pos="4153"/>
        <w:tab w:val="right" w:pos="8306"/>
      </w:tabs>
      <w:snapToGrid w:val="0"/>
      <w:jc w:val="left"/>
    </w:pPr>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ascii="Calibri" w:hAnsi="Calibri"/>
      <w:kern w:val="0"/>
      <w:sz w:val="24"/>
    </w:rPr>
  </w:style>
  <w:style w:type="paragraph" w:styleId="a9">
    <w:name w:val="annotation subject"/>
    <w:basedOn w:val="a3"/>
    <w:next w:val="a3"/>
    <w:semiHidden/>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qFormat/>
    <w:rPr>
      <w:sz w:val="21"/>
      <w:szCs w:val="21"/>
    </w:rPr>
  </w:style>
  <w:style w:type="paragraph" w:customStyle="1" w:styleId="ac">
    <w:name w:val="小节标题"/>
    <w:basedOn w:val="a"/>
    <w:next w:val="a"/>
    <w:qFormat/>
    <w:pPr>
      <w:widowControl/>
      <w:spacing w:before="175" w:after="102" w:line="566" w:lineRule="atLeast"/>
      <w:textAlignment w:val="baseline"/>
    </w:pPr>
    <w:rPr>
      <w:rFonts w:eastAsia="黑体"/>
      <w:color w:val="000000"/>
      <w:kern w:val="0"/>
      <w:szCs w:val="21"/>
      <w:u w:color="000000"/>
    </w:r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548</Words>
  <Characters>3127</Characters>
  <Application>Microsoft Office Word</Application>
  <DocSecurity>0</DocSecurity>
  <Lines>26</Lines>
  <Paragraphs>7</Paragraphs>
  <ScaleCrop>false</ScaleCrop>
  <Company>微软中国</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本科生占全日制在校生总数的比例、教师数量及结构</dc:title>
  <dc:creator>ibm</dc:creator>
  <cp:lastModifiedBy>冉</cp:lastModifiedBy>
  <cp:revision>4</cp:revision>
  <cp:lastPrinted>2017-10-27T04:01:00Z</cp:lastPrinted>
  <dcterms:created xsi:type="dcterms:W3CDTF">2019-10-23T05:45:00Z</dcterms:created>
  <dcterms:modified xsi:type="dcterms:W3CDTF">2020-10-31T16:45:00Z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